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400" w:rsidRPr="00930591" w:rsidRDefault="005E6400" w:rsidP="005E6400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Université 20 Aoû</w:t>
      </w: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t 1955-Skikda </w:t>
      </w:r>
    </w:p>
    <w:p w:rsidR="005E6400" w:rsidRPr="00930591" w:rsidRDefault="005E6400" w:rsidP="005E6400">
      <w:pPr>
        <w:rPr>
          <w:rFonts w:asciiTheme="majorBidi" w:hAnsiTheme="majorBidi" w:cstheme="majorBidi"/>
          <w:b/>
          <w:bCs/>
          <w:sz w:val="20"/>
          <w:szCs w:val="20"/>
        </w:rPr>
      </w:pPr>
      <w:r>
        <w:rPr>
          <w:rFonts w:asciiTheme="majorBidi" w:hAnsiTheme="majorBidi" w:cstheme="majorBidi"/>
          <w:b/>
          <w:bCs/>
          <w:sz w:val="20"/>
          <w:szCs w:val="20"/>
        </w:rPr>
        <w:t>Institut des sciences et techniques appliquées (ISTA)</w:t>
      </w:r>
    </w:p>
    <w:p w:rsidR="005E6400" w:rsidRPr="00930591" w:rsidRDefault="005E6400" w:rsidP="005E6400">
      <w:pPr>
        <w:rPr>
          <w:rFonts w:asciiTheme="majorBidi" w:hAnsiTheme="majorBidi" w:cstheme="majorBidi"/>
          <w:b/>
          <w:bCs/>
          <w:sz w:val="20"/>
          <w:szCs w:val="20"/>
        </w:rPr>
      </w:pPr>
      <w:r w:rsidRPr="00930591">
        <w:rPr>
          <w:rFonts w:asciiTheme="majorBidi" w:hAnsiTheme="majorBidi" w:cstheme="majorBidi"/>
          <w:b/>
          <w:bCs/>
          <w:sz w:val="20"/>
          <w:szCs w:val="20"/>
        </w:rPr>
        <w:t xml:space="preserve">Département 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Hygi</w:t>
      </w:r>
      <w:r>
        <w:rPr>
          <w:rFonts w:asciiTheme="majorBidi" w:hAnsiTheme="majorBidi" w:cstheme="majorBidi"/>
          <w:b/>
          <w:bCs/>
          <w:sz w:val="20"/>
          <w:szCs w:val="20"/>
        </w:rPr>
        <w:t>ène, Sécurité et Environnement (</w:t>
      </w:r>
      <w:r w:rsidRPr="00735C7B">
        <w:rPr>
          <w:rFonts w:asciiTheme="majorBidi" w:hAnsiTheme="majorBidi" w:cstheme="majorBidi"/>
          <w:b/>
          <w:bCs/>
          <w:sz w:val="20"/>
          <w:szCs w:val="20"/>
        </w:rPr>
        <w:t>HSE</w:t>
      </w:r>
      <w:r>
        <w:rPr>
          <w:rFonts w:asciiTheme="majorBidi" w:hAnsiTheme="majorBidi" w:cstheme="majorBidi"/>
          <w:b/>
          <w:bCs/>
          <w:sz w:val="20"/>
          <w:szCs w:val="20"/>
        </w:rPr>
        <w:t>)</w:t>
      </w:r>
    </w:p>
    <w:tbl>
      <w:tblPr>
        <w:tblpPr w:leftFromText="180" w:rightFromText="180" w:vertAnchor="text" w:horzAnchor="margin" w:tblpXSpec="center" w:tblpY="93"/>
        <w:tblW w:w="84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2"/>
        <w:gridCol w:w="1342"/>
        <w:gridCol w:w="2246"/>
        <w:gridCol w:w="1728"/>
        <w:gridCol w:w="992"/>
        <w:gridCol w:w="790"/>
      </w:tblGrid>
      <w:tr w:rsidR="005E6400" w:rsidRPr="00930591" w:rsidTr="0071654D">
        <w:trPr>
          <w:trHeight w:val="350"/>
        </w:trPr>
        <w:tc>
          <w:tcPr>
            <w:tcW w:w="1342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Date</w:t>
            </w:r>
          </w:p>
        </w:tc>
        <w:tc>
          <w:tcPr>
            <w:tcW w:w="1342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Niveau</w:t>
            </w:r>
          </w:p>
        </w:tc>
        <w:tc>
          <w:tcPr>
            <w:tcW w:w="2246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Contrôle</w:t>
            </w:r>
          </w:p>
        </w:tc>
        <w:tc>
          <w:tcPr>
            <w:tcW w:w="1728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Enseignante</w:t>
            </w:r>
          </w:p>
        </w:tc>
        <w:tc>
          <w:tcPr>
            <w:tcW w:w="992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Barème</w:t>
            </w:r>
          </w:p>
        </w:tc>
        <w:tc>
          <w:tcPr>
            <w:tcW w:w="790" w:type="dxa"/>
            <w:vAlign w:val="center"/>
          </w:tcPr>
          <w:p w:rsidR="005E6400" w:rsidRPr="00930591" w:rsidRDefault="005E6400" w:rsidP="0071654D">
            <w:pPr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930591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Durée</w:t>
            </w:r>
          </w:p>
        </w:tc>
      </w:tr>
      <w:tr w:rsidR="005E6400" w:rsidRPr="00930591" w:rsidTr="0071654D">
        <w:trPr>
          <w:trHeight w:val="439"/>
        </w:trPr>
        <w:tc>
          <w:tcPr>
            <w:tcW w:w="1342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28</w:t>
            </w: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/05/2023</w:t>
            </w:r>
          </w:p>
        </w:tc>
        <w:tc>
          <w:tcPr>
            <w:tcW w:w="1342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2</w:t>
            </w:r>
            <w:r w:rsidRPr="007D5AB6">
              <w:rPr>
                <w:rFonts w:asciiTheme="majorBidi" w:hAnsiTheme="majorBidi" w:cstheme="majorBidi"/>
                <w:sz w:val="20"/>
                <w:szCs w:val="20"/>
                <w:vertAlign w:val="superscript"/>
                <w:lang w:val="de-DE"/>
              </w:rPr>
              <w:t>ème</w:t>
            </w:r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année</w:t>
            </w:r>
            <w:proofErr w:type="spellEnd"/>
          </w:p>
        </w:tc>
        <w:tc>
          <w:tcPr>
            <w:tcW w:w="2246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de-DE"/>
              </w:rPr>
            </w:pP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Risque</w:t>
            </w:r>
            <w:proofErr w:type="spellEnd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 xml:space="preserve"> </w:t>
            </w:r>
            <w:proofErr w:type="spellStart"/>
            <w:r>
              <w:rPr>
                <w:rFonts w:asciiTheme="majorBidi" w:hAnsiTheme="majorBidi" w:cstheme="majorBidi"/>
                <w:sz w:val="20"/>
                <w:szCs w:val="20"/>
                <w:lang w:val="de-DE"/>
              </w:rPr>
              <w:t>incendie</w:t>
            </w:r>
            <w:proofErr w:type="spellEnd"/>
          </w:p>
        </w:tc>
        <w:tc>
          <w:tcPr>
            <w:tcW w:w="1728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proofErr w:type="spellStart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Hanane</w:t>
            </w:r>
            <w:proofErr w:type="spellEnd"/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 xml:space="preserve"> OMEIRI</w:t>
            </w:r>
          </w:p>
        </w:tc>
        <w:tc>
          <w:tcPr>
            <w:tcW w:w="992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/20</w:t>
            </w:r>
          </w:p>
        </w:tc>
        <w:tc>
          <w:tcPr>
            <w:tcW w:w="790" w:type="dxa"/>
            <w:vAlign w:val="center"/>
          </w:tcPr>
          <w:p w:rsidR="005E6400" w:rsidRPr="001C7C77" w:rsidRDefault="005E6400" w:rsidP="0071654D">
            <w:pPr>
              <w:jc w:val="center"/>
              <w:rPr>
                <w:rFonts w:asciiTheme="majorBidi" w:hAnsiTheme="majorBidi" w:cstheme="majorBidi"/>
                <w:sz w:val="20"/>
                <w:szCs w:val="20"/>
                <w:lang w:val="en-GB"/>
              </w:rPr>
            </w:pPr>
            <w:r>
              <w:rPr>
                <w:rFonts w:asciiTheme="majorBidi" w:hAnsiTheme="majorBidi" w:cstheme="majorBidi"/>
                <w:sz w:val="20"/>
                <w:szCs w:val="20"/>
                <w:lang w:val="en-GB"/>
              </w:rPr>
              <w:t>1H 3</w:t>
            </w:r>
            <w:r w:rsidRPr="001C7C77">
              <w:rPr>
                <w:rFonts w:asciiTheme="majorBidi" w:hAnsiTheme="majorBidi" w:cstheme="majorBidi"/>
                <w:sz w:val="20"/>
                <w:szCs w:val="20"/>
                <w:lang w:val="en-GB"/>
              </w:rPr>
              <w:t>0</w:t>
            </w:r>
          </w:p>
        </w:tc>
      </w:tr>
    </w:tbl>
    <w:p w:rsidR="007560A8" w:rsidRDefault="00C3629C"/>
    <w:p w:rsidR="00C53F4A" w:rsidRPr="00461251" w:rsidRDefault="005E7DBB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Exercice 1 :</w:t>
      </w:r>
      <w:r w:rsidR="00652AC0"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6pts</w:t>
      </w:r>
    </w:p>
    <w:p w:rsidR="00657E7E" w:rsidRPr="00461251" w:rsidRDefault="00657E7E" w:rsidP="00AB35BD">
      <w:pPr>
        <w:ind w:firstLine="567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On vous donne le tableau suivant :</w:t>
      </w:r>
    </w:p>
    <w:tbl>
      <w:tblPr>
        <w:tblStyle w:val="Grilledutableau"/>
        <w:tblW w:w="0" w:type="auto"/>
        <w:tblInd w:w="-147" w:type="dxa"/>
        <w:tblLook w:val="04A0" w:firstRow="1" w:lastRow="0" w:firstColumn="1" w:lastColumn="0" w:noHBand="0" w:noVBand="1"/>
      </w:tblPr>
      <w:tblGrid>
        <w:gridCol w:w="1343"/>
        <w:gridCol w:w="1043"/>
        <w:gridCol w:w="1056"/>
        <w:gridCol w:w="1003"/>
        <w:gridCol w:w="989"/>
        <w:gridCol w:w="939"/>
        <w:gridCol w:w="980"/>
        <w:gridCol w:w="884"/>
        <w:gridCol w:w="972"/>
      </w:tblGrid>
      <w:tr w:rsidR="00657E7E" w:rsidRPr="00461251" w:rsidTr="00A73F5B">
        <w:tc>
          <w:tcPr>
            <w:tcW w:w="1390" w:type="dxa"/>
          </w:tcPr>
          <w:p w:rsidR="00657E7E" w:rsidRPr="00461251" w:rsidRDefault="00657E7E">
            <w:pPr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</w:p>
        </w:tc>
        <w:tc>
          <w:tcPr>
            <w:tcW w:w="1000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Charbon</w:t>
            </w:r>
          </w:p>
        </w:tc>
        <w:tc>
          <w:tcPr>
            <w:tcW w:w="1002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Méthane</w:t>
            </w:r>
          </w:p>
        </w:tc>
        <w:tc>
          <w:tcPr>
            <w:tcW w:w="991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Propane</w:t>
            </w:r>
          </w:p>
        </w:tc>
        <w:tc>
          <w:tcPr>
            <w:tcW w:w="989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Essence</w:t>
            </w:r>
          </w:p>
        </w:tc>
        <w:tc>
          <w:tcPr>
            <w:tcW w:w="956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Diesel</w:t>
            </w:r>
          </w:p>
        </w:tc>
        <w:tc>
          <w:tcPr>
            <w:tcW w:w="983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Ethanol</w:t>
            </w:r>
          </w:p>
        </w:tc>
        <w:tc>
          <w:tcPr>
            <w:tcW w:w="920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Bois sec</w:t>
            </w:r>
          </w:p>
        </w:tc>
        <w:tc>
          <w:tcPr>
            <w:tcW w:w="978" w:type="dxa"/>
          </w:tcPr>
          <w:p w:rsidR="00657E7E" w:rsidRPr="00461251" w:rsidRDefault="00657E7E" w:rsidP="00657E7E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Bois humide</w:t>
            </w:r>
          </w:p>
        </w:tc>
      </w:tr>
      <w:tr w:rsidR="00657E7E" w:rsidRPr="00461251" w:rsidTr="00A73F5B">
        <w:tc>
          <w:tcPr>
            <w:tcW w:w="1390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PC</w:t>
            </w:r>
            <w:r w:rsidR="00A73F5B"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 xml:space="preserve"> </w:t>
            </w: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(MJ/Kg)</w:t>
            </w:r>
          </w:p>
        </w:tc>
        <w:tc>
          <w:tcPr>
            <w:tcW w:w="1000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33.3</w:t>
            </w:r>
          </w:p>
        </w:tc>
        <w:tc>
          <w:tcPr>
            <w:tcW w:w="1002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50.1</w:t>
            </w:r>
          </w:p>
        </w:tc>
        <w:tc>
          <w:tcPr>
            <w:tcW w:w="991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45.8</w:t>
            </w:r>
          </w:p>
        </w:tc>
        <w:tc>
          <w:tcPr>
            <w:tcW w:w="989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42.5</w:t>
            </w:r>
          </w:p>
        </w:tc>
        <w:tc>
          <w:tcPr>
            <w:tcW w:w="956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43.0</w:t>
            </w:r>
          </w:p>
        </w:tc>
        <w:tc>
          <w:tcPr>
            <w:tcW w:w="983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28.8</w:t>
            </w:r>
          </w:p>
        </w:tc>
        <w:tc>
          <w:tcPr>
            <w:tcW w:w="920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14.0</w:t>
            </w:r>
          </w:p>
        </w:tc>
        <w:tc>
          <w:tcPr>
            <w:tcW w:w="978" w:type="dxa"/>
          </w:tcPr>
          <w:p w:rsidR="00657E7E" w:rsidRPr="00461251" w:rsidRDefault="00657E7E" w:rsidP="009631E2">
            <w:pPr>
              <w:jc w:val="center"/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</w:pPr>
            <w:r w:rsidRPr="00461251">
              <w:rPr>
                <w:rFonts w:asciiTheme="majorBidi" w:hAnsiTheme="majorBidi" w:cstheme="majorBidi"/>
                <w:color w:val="000000" w:themeColor="text1"/>
                <w:sz w:val="24"/>
                <w:szCs w:val="24"/>
              </w:rPr>
              <w:t>8.0</w:t>
            </w:r>
          </w:p>
        </w:tc>
      </w:tr>
    </w:tbl>
    <w:p w:rsidR="00CC7B53" w:rsidRPr="00461251" w:rsidRDefault="00CC7B53">
      <w:pPr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</w:p>
    <w:p w:rsidR="00657E7E" w:rsidRPr="00461251" w:rsidRDefault="00CC7B53">
      <w:pPr>
        <w:rPr>
          <w:rFonts w:asciiTheme="majorBidi" w:hAnsiTheme="majorBidi" w:cstheme="majorBidi"/>
          <w:i/>
          <w:iCs/>
          <w:color w:val="000000" w:themeColor="text1"/>
          <w:sz w:val="24"/>
          <w:szCs w:val="24"/>
          <w:u w:val="single"/>
        </w:rPr>
      </w:pPr>
      <w:r w:rsidRPr="00461251">
        <w:rPr>
          <w:rFonts w:asciiTheme="majorBidi" w:hAnsiTheme="majorBidi" w:cstheme="majorBidi"/>
          <w:i/>
          <w:iCs/>
          <w:color w:val="000000" w:themeColor="text1"/>
          <w:sz w:val="24"/>
          <w:szCs w:val="24"/>
          <w:u w:val="single"/>
        </w:rPr>
        <w:t>Questions :</w:t>
      </w:r>
    </w:p>
    <w:p w:rsidR="00FE0673" w:rsidRPr="00461251" w:rsidRDefault="00FE0673" w:rsidP="00FE067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Calculer l'énergie libérée par une bouteille de 13 kg de propane.</w:t>
      </w:r>
    </w:p>
    <w:p w:rsidR="00FE0673" w:rsidRPr="00461251" w:rsidRDefault="00FE0673" w:rsidP="00FE067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Quelle énergie libère 1L d'éthan</w:t>
      </w:r>
      <w:r w:rsidR="00032C8F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ol de masse volumique 0,79 kg/L ?</w:t>
      </w:r>
    </w:p>
    <w:p w:rsidR="00FE0673" w:rsidRPr="00461251" w:rsidRDefault="00FE0673" w:rsidP="00FE0673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La combustion de 600g d'un combustible libère 25 500 kJ. De quel combustible peut-il s'agir ?</w:t>
      </w:r>
    </w:p>
    <w:p w:rsidR="00A61F66" w:rsidRPr="00461251" w:rsidRDefault="00A61F66" w:rsidP="00AB4CA8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Exercice 2 :</w:t>
      </w:r>
      <w:r w:rsid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4pts</w:t>
      </w:r>
    </w:p>
    <w:p w:rsidR="003334F6" w:rsidRPr="00461251" w:rsidRDefault="008D6805" w:rsidP="00AB35BD">
      <w:pPr>
        <w:ind w:firstLine="567"/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Calculer la chaleur de combustion ∆</w:t>
      </w:r>
      <w:proofErr w:type="spellStart"/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H°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r</w:t>
      </w:r>
      <w:proofErr w:type="spellEnd"/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,</w:t>
      </w:r>
      <w:r w:rsidR="0019592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 xml:space="preserve"> 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298K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de l’acide oxalique solide (C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proofErr w:type="gramStart"/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,s</w:t>
      </w:r>
      <w:proofErr w:type="gramEnd"/>
      <w:r w:rsidRPr="004612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) à 25°C et la pression atmosphérique, en utilisant les enthalpies molaires standards de formation. </w:t>
      </w:r>
    </w:p>
    <w:p w:rsidR="00461251" w:rsidRDefault="00461251" w:rsidP="008D6805">
      <w:pPr>
        <w:jc w:val="both"/>
        <w:rPr>
          <w:rFonts w:asciiTheme="majorBidi" w:hAnsiTheme="majorBidi" w:cstheme="majorBidi"/>
          <w:color w:val="000000" w:themeColor="text1"/>
          <w:sz w:val="24"/>
          <w:szCs w:val="24"/>
        </w:rPr>
      </w:pPr>
      <w:r>
        <w:rPr>
          <w:rFonts w:asciiTheme="majorBidi" w:hAnsiTheme="majorBidi" w:cstheme="majorBidi"/>
          <w:color w:val="000000" w:themeColor="text1"/>
          <w:sz w:val="24"/>
          <w:szCs w:val="24"/>
        </w:rPr>
        <w:t>Sachant que : ∆</w:t>
      </w:r>
      <w:proofErr w:type="spellStart"/>
      <w:r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Pr="00AB35B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f</w:t>
      </w:r>
      <w:proofErr w:type="spellEnd"/>
      <w:proofErr w:type="gramStart"/>
      <w:r w:rsidR="00EA4393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,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°</w:t>
      </w:r>
      <w:proofErr w:type="gramEnd"/>
      <w:r w:rsidR="00EA4393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298(C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H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2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O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</w:rPr>
        <w:t>4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>, s) = -1822,2 kJ.mol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</w:rPr>
        <w:t>-1</w:t>
      </w:r>
      <w:r w:rsidR="008D6805" w:rsidRPr="00461251">
        <w:rPr>
          <w:rFonts w:asciiTheme="majorBidi" w:hAnsiTheme="majorBidi" w:cstheme="majorBidi"/>
          <w:color w:val="000000" w:themeColor="text1"/>
          <w:sz w:val="24"/>
          <w:szCs w:val="24"/>
        </w:rPr>
        <w:t xml:space="preserve"> </w:t>
      </w:r>
    </w:p>
    <w:p w:rsidR="00461251" w:rsidRDefault="008D6805" w:rsidP="00461251">
      <w:pPr>
        <w:ind w:left="1418" w:hanging="142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∆</w:t>
      </w:r>
      <w:proofErr w:type="spellStart"/>
      <w:r w:rsid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</w:t>
      </w:r>
      <w:r w:rsidR="00461251" w:rsidRPr="00AB35B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val="en-US"/>
        </w:rPr>
        <w:t>f</w:t>
      </w:r>
      <w:proofErr w:type="spellEnd"/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°</w:t>
      </w:r>
      <w:r w:rsidR="00AB35B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</w:t>
      </w:r>
      <w:r w:rsidR="00EA439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298 (CO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val="en-US"/>
        </w:rPr>
        <w:t>2</w:t>
      </w:r>
      <w:r w:rsidR="00EA439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 g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) = -393 kJ.mol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val="en-US"/>
        </w:rPr>
        <w:t>-1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</w:p>
    <w:p w:rsidR="008D6805" w:rsidRPr="00461251" w:rsidRDefault="008D6805" w:rsidP="00461251">
      <w:pPr>
        <w:ind w:firstLine="1276"/>
        <w:jc w:val="both"/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</w:pP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∆</w:t>
      </w:r>
      <w:proofErr w:type="spellStart"/>
      <w:r w:rsid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h</w:t>
      </w:r>
      <w:r w:rsidR="00461251" w:rsidRPr="00AB35BD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val="en-US"/>
        </w:rPr>
        <w:t>f</w:t>
      </w:r>
      <w:proofErr w:type="spellEnd"/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°</w:t>
      </w:r>
      <w:r w:rsidR="00AB35BD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</w:t>
      </w:r>
      <w:r w:rsidR="00EA439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298 (H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bscript"/>
          <w:lang w:val="en-US"/>
        </w:rPr>
        <w:t>2</w:t>
      </w:r>
      <w:r w:rsidR="00EA4393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O, l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) = -285</w:t>
      </w:r>
      <w:proofErr w:type="gramStart"/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>,2</w:t>
      </w:r>
      <w:proofErr w:type="gramEnd"/>
      <w:r w:rsidRPr="00461251">
        <w:rPr>
          <w:rFonts w:asciiTheme="majorBidi" w:hAnsiTheme="majorBidi" w:cstheme="majorBidi"/>
          <w:color w:val="000000" w:themeColor="text1"/>
          <w:sz w:val="24"/>
          <w:szCs w:val="24"/>
          <w:lang w:val="en-US"/>
        </w:rPr>
        <w:t xml:space="preserve"> kJ.mol</w:t>
      </w:r>
      <w:r w:rsidRPr="00461251">
        <w:rPr>
          <w:rFonts w:asciiTheme="majorBidi" w:hAnsiTheme="majorBidi" w:cstheme="majorBidi"/>
          <w:color w:val="000000" w:themeColor="text1"/>
          <w:sz w:val="24"/>
          <w:szCs w:val="24"/>
          <w:vertAlign w:val="superscript"/>
          <w:lang w:val="en-US"/>
        </w:rPr>
        <w:t>-1</w:t>
      </w:r>
    </w:p>
    <w:p w:rsidR="00C53F4A" w:rsidRPr="00461251" w:rsidRDefault="005E6400" w:rsidP="00AB4CA8">
      <w:pPr>
        <w:jc w:val="both"/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</w:pPr>
      <w:r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Situation professionnelle : </w:t>
      </w:r>
      <w:r w:rsidR="00C53F4A"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Accident du 19 janvier 2004</w:t>
      </w:r>
      <w:r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(GL1K, Skikda-Algérie)</w:t>
      </w:r>
      <w:r w:rsidR="00114918"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 xml:space="preserve"> 10</w:t>
      </w:r>
      <w:r w:rsidR="00E10234" w:rsidRPr="00461251">
        <w:rPr>
          <w:rFonts w:asciiTheme="majorBidi" w:hAnsiTheme="majorBidi" w:cstheme="majorBidi"/>
          <w:b/>
          <w:bCs/>
          <w:color w:val="000000" w:themeColor="text1"/>
          <w:sz w:val="24"/>
          <w:szCs w:val="24"/>
        </w:rPr>
        <w:t>pts</w:t>
      </w:r>
    </w:p>
    <w:p w:rsidR="00C53F4A" w:rsidRPr="00461251" w:rsidRDefault="00C53F4A" w:rsidP="005E6400">
      <w:pPr>
        <w:pStyle w:val="NormalWeb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Une explosion se produit vers 18h40 dans un complexe pétrochimique portuaire, situé sur la côte et comprenant 6 unités de traitement de gaz et d’hydrocarbures. 12 000 personnes travaillent sur ce site qui est en partie alimenté par du gaz et du pétrole en provenance du Sahara.</w:t>
      </w:r>
    </w:p>
    <w:p w:rsidR="00C53F4A" w:rsidRPr="00461251" w:rsidRDefault="00C53F4A" w:rsidP="005E6400">
      <w:pPr>
        <w:pStyle w:val="NormalWeb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L’accident se produit dans l’unité traitant du gaz naturel (GNL), à la suite de l’explosion d’une chaudière à haute pression fabriquant de la vapeur. Sous la violence de l’explosion, des réservoirs de substances inflammables à proximité sont endommagés à leur tour : les fuites qui en résultent provoquent l’extension de l’incendie en différents foyers et de nouvelles explosions (effet domino). Le souffle de l’explosion, entendue à 10 km à la ronde, brise les vitres d’immeubles et commerces du voisinage. Une cellule de crise est mise en place par l’exploitant et le ministère de l’int</w:t>
      </w:r>
      <w:r w:rsidR="00373718" w:rsidRPr="00461251">
        <w:rPr>
          <w:rFonts w:asciiTheme="majorBidi" w:hAnsiTheme="majorBidi" w:cstheme="majorBidi"/>
          <w:color w:val="000000" w:themeColor="text1"/>
        </w:rPr>
        <w:t>érieur</w:t>
      </w:r>
      <w:r w:rsidRPr="00461251">
        <w:rPr>
          <w:rFonts w:asciiTheme="majorBidi" w:hAnsiTheme="majorBidi" w:cstheme="majorBidi"/>
          <w:color w:val="000000" w:themeColor="text1"/>
        </w:rPr>
        <w:t>. Les secours doivent lutter 8 h pour maîtriser l’incendie.</w:t>
      </w:r>
    </w:p>
    <w:p w:rsidR="00C53F4A" w:rsidRPr="00461251" w:rsidRDefault="00C53F4A" w:rsidP="005E6400">
      <w:pPr>
        <w:pStyle w:val="NormalWeb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 xml:space="preserve">Le bilan final est très lourd : 27 victimes parmi les employés dont 9 gardiens ou agents de sécurité situés dans un poste proche et 74 blessés (dont 43 sortiront le lendemain après </w:t>
      </w:r>
      <w:r w:rsidRPr="00461251">
        <w:rPr>
          <w:rFonts w:asciiTheme="majorBidi" w:hAnsiTheme="majorBidi" w:cstheme="majorBidi"/>
          <w:color w:val="000000" w:themeColor="text1"/>
        </w:rPr>
        <w:lastRenderedPageBreak/>
        <w:t>examens). La plupart des décès est liée aux effets de surpression ou de projection et effondrements de structures.</w:t>
      </w:r>
    </w:p>
    <w:p w:rsidR="00C53F4A" w:rsidRPr="00461251" w:rsidRDefault="00C53F4A" w:rsidP="005E6400">
      <w:pPr>
        <w:pStyle w:val="NormalWeb"/>
        <w:shd w:val="clear" w:color="auto" w:fill="FFFFFF"/>
        <w:spacing w:before="0" w:beforeAutospacing="0" w:after="300" w:afterAutospacing="0"/>
        <w:ind w:firstLine="567"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L’estimation des dégâts matériels se monte à 800 M de dollars. 3 des 6 unités de liquéfaction sont détruites. Des débris sont projetés jusqu’à 250 m du point de l’explosion mais les dégâts restent limités au site.</w:t>
      </w:r>
    </w:p>
    <w:p w:rsidR="001174FE" w:rsidRPr="00461251" w:rsidRDefault="001174FE" w:rsidP="00CC7B53">
      <w:pPr>
        <w:pStyle w:val="NormalWeb"/>
        <w:shd w:val="clear" w:color="auto" w:fill="FFFFFF"/>
        <w:spacing w:before="0" w:beforeAutospacing="0" w:after="300" w:afterAutospacing="0"/>
        <w:jc w:val="both"/>
        <w:textAlignment w:val="baseline"/>
        <w:rPr>
          <w:rFonts w:asciiTheme="majorBidi" w:hAnsiTheme="majorBidi" w:cstheme="majorBidi"/>
          <w:i/>
          <w:iCs/>
          <w:color w:val="000000" w:themeColor="text1"/>
          <w:u w:val="single"/>
        </w:rPr>
      </w:pPr>
      <w:r w:rsidRPr="00461251">
        <w:rPr>
          <w:rFonts w:asciiTheme="majorBidi" w:hAnsiTheme="majorBidi" w:cstheme="majorBidi"/>
          <w:i/>
          <w:iCs/>
          <w:color w:val="000000" w:themeColor="text1"/>
          <w:u w:val="single"/>
        </w:rPr>
        <w:t>Questions :</w:t>
      </w:r>
    </w:p>
    <w:p w:rsidR="001174FE" w:rsidRPr="00461251" w:rsidRDefault="00D2413D" w:rsidP="005131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59" w:lineRule="auto"/>
        <w:ind w:left="924" w:hanging="357"/>
        <w:contextualSpacing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L’accident ci-dessus s’agit</w:t>
      </w:r>
      <w:r w:rsidR="00116858" w:rsidRPr="00461251">
        <w:rPr>
          <w:rFonts w:asciiTheme="majorBidi" w:hAnsiTheme="majorBidi" w:cstheme="majorBidi"/>
          <w:color w:val="000000" w:themeColor="text1"/>
        </w:rPr>
        <w:t>-il</w:t>
      </w:r>
      <w:r w:rsidRPr="00461251">
        <w:rPr>
          <w:rFonts w:asciiTheme="majorBidi" w:hAnsiTheme="majorBidi" w:cstheme="majorBidi"/>
          <w:color w:val="000000" w:themeColor="text1"/>
        </w:rPr>
        <w:t xml:space="preserve"> d’un incendie ou d’une explosion ?</w:t>
      </w:r>
    </w:p>
    <w:p w:rsidR="00D2413D" w:rsidRPr="00461251" w:rsidRDefault="00D2413D" w:rsidP="005131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59" w:lineRule="auto"/>
        <w:ind w:left="924" w:hanging="357"/>
        <w:contextualSpacing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Quel est la différence entre l’incendie et l’explosion ?</w:t>
      </w:r>
    </w:p>
    <w:p w:rsidR="00513110" w:rsidRPr="00461251" w:rsidRDefault="00513110" w:rsidP="005131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59" w:lineRule="auto"/>
        <w:ind w:left="924" w:hanging="357"/>
        <w:contextualSpacing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Quel était le mode de propagation de l’incendie</w:t>
      </w:r>
      <w:r w:rsidR="00116858" w:rsidRPr="00461251">
        <w:rPr>
          <w:rFonts w:asciiTheme="majorBidi" w:hAnsiTheme="majorBidi" w:cstheme="majorBidi"/>
          <w:color w:val="000000" w:themeColor="text1"/>
        </w:rPr>
        <w:t xml:space="preserve"> dans cet accident</w:t>
      </w:r>
      <w:r w:rsidRPr="00461251">
        <w:rPr>
          <w:rFonts w:asciiTheme="majorBidi" w:hAnsiTheme="majorBidi" w:cstheme="majorBidi"/>
          <w:color w:val="000000" w:themeColor="text1"/>
        </w:rPr>
        <w:t> ?</w:t>
      </w:r>
    </w:p>
    <w:p w:rsidR="00513110" w:rsidRPr="00461251" w:rsidRDefault="005F3B4D" w:rsidP="00513110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59" w:lineRule="auto"/>
        <w:contextualSpacing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Qui doit intervenir après le déclenchement de l’alerte ?</w:t>
      </w:r>
    </w:p>
    <w:p w:rsidR="005F3B4D" w:rsidRPr="00461251" w:rsidRDefault="005F3B4D" w:rsidP="005F3B4D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160" w:afterAutospacing="0" w:line="259" w:lineRule="auto"/>
        <w:contextualSpacing/>
        <w:jc w:val="both"/>
        <w:textAlignment w:val="baseline"/>
        <w:rPr>
          <w:rFonts w:asciiTheme="majorBidi" w:hAnsiTheme="majorBidi" w:cstheme="majorBidi"/>
          <w:color w:val="000000" w:themeColor="text1"/>
        </w:rPr>
      </w:pPr>
      <w:r w:rsidRPr="00461251">
        <w:rPr>
          <w:rFonts w:asciiTheme="majorBidi" w:hAnsiTheme="majorBidi" w:cstheme="majorBidi"/>
          <w:color w:val="000000" w:themeColor="text1"/>
        </w:rPr>
        <w:t>Citer le matériel d’intervention</w:t>
      </w:r>
      <w:r w:rsidR="00116858" w:rsidRPr="00461251">
        <w:rPr>
          <w:rFonts w:asciiTheme="majorBidi" w:hAnsiTheme="majorBidi" w:cstheme="majorBidi"/>
          <w:color w:val="000000" w:themeColor="text1"/>
        </w:rPr>
        <w:t xml:space="preserve"> qui était</w:t>
      </w:r>
      <w:r w:rsidRPr="00461251">
        <w:rPr>
          <w:rFonts w:asciiTheme="majorBidi" w:hAnsiTheme="majorBidi" w:cstheme="majorBidi"/>
          <w:color w:val="000000" w:themeColor="text1"/>
        </w:rPr>
        <w:t xml:space="preserve"> nécessaire</w:t>
      </w:r>
      <w:r w:rsidR="00116858" w:rsidRPr="00461251">
        <w:rPr>
          <w:rFonts w:asciiTheme="majorBidi" w:hAnsiTheme="majorBidi" w:cstheme="majorBidi"/>
          <w:color w:val="000000" w:themeColor="text1"/>
        </w:rPr>
        <w:t xml:space="preserve"> pour l’extinction du feu du 19 janvier 2004. Justifier la réponse</w:t>
      </w:r>
      <w:r w:rsidRPr="00461251">
        <w:rPr>
          <w:rFonts w:asciiTheme="majorBidi" w:hAnsiTheme="majorBidi" w:cstheme="majorBidi"/>
          <w:color w:val="000000" w:themeColor="text1"/>
        </w:rPr>
        <w:t>.</w:t>
      </w:r>
    </w:p>
    <w:p w:rsidR="00C53F4A" w:rsidRDefault="00C53F4A" w:rsidP="00C53F4A"/>
    <w:p w:rsidR="006B0368" w:rsidRDefault="006B0368" w:rsidP="00C53F4A"/>
    <w:p w:rsidR="006B0368" w:rsidRPr="006B0368" w:rsidRDefault="006B0368" w:rsidP="006B0368">
      <w:pPr>
        <w:jc w:val="right"/>
        <w:rPr>
          <w:rFonts w:asciiTheme="majorBidi" w:hAnsiTheme="majorBidi" w:cstheme="majorBidi"/>
          <w:b/>
          <w:bCs/>
          <w:i/>
          <w:iCs/>
          <w:sz w:val="24"/>
          <w:szCs w:val="24"/>
        </w:rPr>
      </w:pPr>
      <w:bookmarkStart w:id="0" w:name="_GoBack"/>
      <w:r w:rsidRPr="006B0368">
        <w:rPr>
          <w:rFonts w:asciiTheme="majorBidi" w:hAnsiTheme="majorBidi" w:cstheme="majorBidi"/>
          <w:b/>
          <w:bCs/>
          <w:i/>
          <w:iCs/>
          <w:sz w:val="24"/>
          <w:szCs w:val="24"/>
        </w:rPr>
        <w:t>Bon courage</w:t>
      </w:r>
      <w:bookmarkEnd w:id="0"/>
    </w:p>
    <w:sectPr w:rsidR="006B0368" w:rsidRPr="006B036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629C" w:rsidRDefault="00C3629C" w:rsidP="00D64F62">
      <w:pPr>
        <w:spacing w:after="0" w:line="240" w:lineRule="auto"/>
      </w:pPr>
      <w:r>
        <w:separator/>
      </w:r>
    </w:p>
  </w:endnote>
  <w:endnote w:type="continuationSeparator" w:id="0">
    <w:p w:rsidR="00C3629C" w:rsidRDefault="00C3629C" w:rsidP="00D64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Bidi" w:hAnsiTheme="majorBidi" w:cstheme="majorBidi"/>
        <w:b/>
        <w:bCs/>
      </w:rPr>
      <w:id w:val="-383019531"/>
      <w:docPartObj>
        <w:docPartGallery w:val="Page Numbers (Bottom of Page)"/>
        <w:docPartUnique/>
      </w:docPartObj>
    </w:sdtPr>
    <w:sdtContent>
      <w:sdt>
        <w:sdtPr>
          <w:rPr>
            <w:rFonts w:asciiTheme="majorBidi" w:hAnsiTheme="majorBidi" w:cstheme="majorBidi"/>
            <w:b/>
            <w:bCs/>
          </w:rPr>
          <w:id w:val="1728636285"/>
          <w:docPartObj>
            <w:docPartGallery w:val="Page Numbers (Top of Page)"/>
            <w:docPartUnique/>
          </w:docPartObj>
        </w:sdtPr>
        <w:sdtContent>
          <w:p w:rsidR="00D64F62" w:rsidRPr="00D64F62" w:rsidRDefault="00D64F62">
            <w:pPr>
              <w:pStyle w:val="Pieddepage"/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D64F62">
              <w:rPr>
                <w:rFonts w:asciiTheme="majorBidi" w:hAnsiTheme="majorBidi" w:cstheme="majorBidi"/>
                <w:b/>
                <w:bCs/>
              </w:rPr>
              <w:t xml:space="preserve">Page </w: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D64F62">
              <w:rPr>
                <w:rFonts w:asciiTheme="majorBidi" w:hAnsiTheme="majorBidi" w:cstheme="majorBidi"/>
                <w:b/>
                <w:bCs/>
              </w:rPr>
              <w:instrText>PAGE</w:instrTex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6B036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  <w:r w:rsidRPr="00D64F62">
              <w:rPr>
                <w:rFonts w:asciiTheme="majorBidi" w:hAnsiTheme="majorBidi" w:cstheme="majorBidi"/>
                <w:b/>
                <w:bCs/>
              </w:rPr>
              <w:t xml:space="preserve"> / </w: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begin"/>
            </w:r>
            <w:r w:rsidRPr="00D64F62">
              <w:rPr>
                <w:rFonts w:asciiTheme="majorBidi" w:hAnsiTheme="majorBidi" w:cstheme="majorBidi"/>
                <w:b/>
                <w:bCs/>
              </w:rPr>
              <w:instrText>NUMPAGES</w:instrTex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separate"/>
            </w:r>
            <w:r w:rsidR="006B0368">
              <w:rPr>
                <w:rFonts w:asciiTheme="majorBidi" w:hAnsiTheme="majorBidi" w:cstheme="majorBidi"/>
                <w:b/>
                <w:bCs/>
                <w:noProof/>
                <w:sz w:val="24"/>
                <w:szCs w:val="24"/>
              </w:rPr>
              <w:t>2</w:t>
            </w:r>
            <w:r w:rsidRPr="00D64F6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64F62" w:rsidRDefault="00D64F62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629C" w:rsidRDefault="00C3629C" w:rsidP="00D64F62">
      <w:pPr>
        <w:spacing w:after="0" w:line="240" w:lineRule="auto"/>
      </w:pPr>
      <w:r>
        <w:separator/>
      </w:r>
    </w:p>
  </w:footnote>
  <w:footnote w:type="continuationSeparator" w:id="0">
    <w:p w:rsidR="00C3629C" w:rsidRDefault="00C3629C" w:rsidP="00D64F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C2F09"/>
    <w:multiLevelType w:val="hybridMultilevel"/>
    <w:tmpl w:val="74DC75F4"/>
    <w:lvl w:ilvl="0" w:tplc="8892C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20528E8"/>
    <w:multiLevelType w:val="hybridMultilevel"/>
    <w:tmpl w:val="9852019A"/>
    <w:lvl w:ilvl="0" w:tplc="8892CD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830"/>
    <w:rsid w:val="00032C8F"/>
    <w:rsid w:val="00114918"/>
    <w:rsid w:val="00116858"/>
    <w:rsid w:val="001174FE"/>
    <w:rsid w:val="00195923"/>
    <w:rsid w:val="003334F6"/>
    <w:rsid w:val="00373718"/>
    <w:rsid w:val="003E0DA7"/>
    <w:rsid w:val="00461251"/>
    <w:rsid w:val="00513110"/>
    <w:rsid w:val="005E6400"/>
    <w:rsid w:val="005E7DBB"/>
    <w:rsid w:val="005F3B4D"/>
    <w:rsid w:val="00652AC0"/>
    <w:rsid w:val="00657E7E"/>
    <w:rsid w:val="006B0368"/>
    <w:rsid w:val="006C5830"/>
    <w:rsid w:val="008D6805"/>
    <w:rsid w:val="008F78AF"/>
    <w:rsid w:val="009631E2"/>
    <w:rsid w:val="00A61F66"/>
    <w:rsid w:val="00A73F5B"/>
    <w:rsid w:val="00AB35BD"/>
    <w:rsid w:val="00AB4CA8"/>
    <w:rsid w:val="00BE2E04"/>
    <w:rsid w:val="00C20619"/>
    <w:rsid w:val="00C3629C"/>
    <w:rsid w:val="00C53F4A"/>
    <w:rsid w:val="00CC7B53"/>
    <w:rsid w:val="00CE769C"/>
    <w:rsid w:val="00D2413D"/>
    <w:rsid w:val="00D64F62"/>
    <w:rsid w:val="00E074CA"/>
    <w:rsid w:val="00E10234"/>
    <w:rsid w:val="00E54B65"/>
    <w:rsid w:val="00EA4393"/>
    <w:rsid w:val="00FE0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7CE6E-46AA-47BB-B779-45C1A1423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53F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39"/>
    <w:rsid w:val="00657E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FE0673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D64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4F62"/>
  </w:style>
  <w:style w:type="paragraph" w:styleId="Pieddepage">
    <w:name w:val="footer"/>
    <w:basedOn w:val="Normal"/>
    <w:link w:val="PieddepageCar"/>
    <w:uiPriority w:val="99"/>
    <w:unhideWhenUsed/>
    <w:rsid w:val="00D64F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4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4541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2</Pages>
  <Words>448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54</cp:revision>
  <dcterms:created xsi:type="dcterms:W3CDTF">2023-05-26T20:45:00Z</dcterms:created>
  <dcterms:modified xsi:type="dcterms:W3CDTF">2023-05-27T00:10:00Z</dcterms:modified>
</cp:coreProperties>
</file>