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15" w:rsidRPr="00930591" w:rsidRDefault="00BD3215" w:rsidP="00BD321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Université 20 Aoû</w:t>
      </w:r>
      <w:r w:rsidRPr="00930591">
        <w:rPr>
          <w:rFonts w:asciiTheme="majorBidi" w:hAnsiTheme="majorBidi" w:cstheme="majorBidi"/>
          <w:b/>
          <w:bCs/>
          <w:sz w:val="20"/>
          <w:szCs w:val="20"/>
        </w:rPr>
        <w:t xml:space="preserve">t 1955-Skikda </w:t>
      </w:r>
    </w:p>
    <w:p w:rsidR="00BD3215" w:rsidRPr="00930591" w:rsidRDefault="00BD3215" w:rsidP="00BD321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Institut des sciences et techniques appliquées (ISTA)</w:t>
      </w:r>
    </w:p>
    <w:p w:rsidR="00BD3215" w:rsidRDefault="00BD3215" w:rsidP="00BD3215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30591">
        <w:rPr>
          <w:rFonts w:asciiTheme="majorBidi" w:hAnsiTheme="majorBidi" w:cstheme="majorBidi"/>
          <w:b/>
          <w:bCs/>
          <w:sz w:val="20"/>
          <w:szCs w:val="20"/>
        </w:rPr>
        <w:t xml:space="preserve">Département </w:t>
      </w:r>
      <w:r w:rsidRPr="00735C7B">
        <w:rPr>
          <w:rFonts w:asciiTheme="majorBidi" w:hAnsiTheme="majorBidi" w:cstheme="majorBidi"/>
          <w:b/>
          <w:bCs/>
          <w:sz w:val="20"/>
          <w:szCs w:val="20"/>
        </w:rPr>
        <w:t>Hygi</w:t>
      </w:r>
      <w:r>
        <w:rPr>
          <w:rFonts w:asciiTheme="majorBidi" w:hAnsiTheme="majorBidi" w:cstheme="majorBidi"/>
          <w:b/>
          <w:bCs/>
          <w:sz w:val="20"/>
          <w:szCs w:val="20"/>
        </w:rPr>
        <w:t>ène, Sécurité et Environnement (</w:t>
      </w:r>
      <w:r w:rsidRPr="00735C7B">
        <w:rPr>
          <w:rFonts w:asciiTheme="majorBidi" w:hAnsiTheme="majorBidi" w:cstheme="majorBidi"/>
          <w:b/>
          <w:bCs/>
          <w:sz w:val="20"/>
          <w:szCs w:val="20"/>
        </w:rPr>
        <w:t>HSE</w:t>
      </w:r>
      <w:r>
        <w:rPr>
          <w:rFonts w:asciiTheme="majorBidi" w:hAnsiTheme="majorBidi" w:cstheme="majorBidi"/>
          <w:b/>
          <w:bCs/>
          <w:sz w:val="20"/>
          <w:szCs w:val="20"/>
        </w:rPr>
        <w:t>)</w:t>
      </w:r>
    </w:p>
    <w:p w:rsidR="00BD3215" w:rsidRPr="00930591" w:rsidRDefault="00BD3215" w:rsidP="00BD3215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93"/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342"/>
        <w:gridCol w:w="2246"/>
        <w:gridCol w:w="1728"/>
        <w:gridCol w:w="992"/>
        <w:gridCol w:w="790"/>
      </w:tblGrid>
      <w:tr w:rsidR="00BD3215" w:rsidRPr="00930591" w:rsidTr="00F65490">
        <w:trPr>
          <w:trHeight w:val="350"/>
        </w:trPr>
        <w:tc>
          <w:tcPr>
            <w:tcW w:w="1342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42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Niveau</w:t>
            </w:r>
          </w:p>
        </w:tc>
        <w:tc>
          <w:tcPr>
            <w:tcW w:w="2246" w:type="dxa"/>
            <w:vAlign w:val="center"/>
          </w:tcPr>
          <w:p w:rsidR="00BD3215" w:rsidRPr="00930591" w:rsidRDefault="00A67843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Rattrapage</w:t>
            </w:r>
          </w:p>
        </w:tc>
        <w:tc>
          <w:tcPr>
            <w:tcW w:w="1728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Enseignante</w:t>
            </w:r>
          </w:p>
        </w:tc>
        <w:tc>
          <w:tcPr>
            <w:tcW w:w="992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Barème</w:t>
            </w:r>
          </w:p>
        </w:tc>
        <w:tc>
          <w:tcPr>
            <w:tcW w:w="790" w:type="dxa"/>
            <w:vAlign w:val="center"/>
          </w:tcPr>
          <w:p w:rsidR="00BD3215" w:rsidRPr="00930591" w:rsidRDefault="00BD3215" w:rsidP="00F65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Durée</w:t>
            </w:r>
          </w:p>
        </w:tc>
      </w:tr>
      <w:tr w:rsidR="00BD3215" w:rsidRPr="00930591" w:rsidTr="00F65490">
        <w:trPr>
          <w:trHeight w:val="439"/>
        </w:trPr>
        <w:tc>
          <w:tcPr>
            <w:tcW w:w="1342" w:type="dxa"/>
            <w:vAlign w:val="center"/>
          </w:tcPr>
          <w:p w:rsidR="00BD3215" w:rsidRPr="001C7C77" w:rsidRDefault="00A67843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15/06</w:t>
            </w:r>
            <w:r w:rsidR="00BD3215">
              <w:rPr>
                <w:rFonts w:asciiTheme="majorBidi" w:hAnsiTheme="majorBidi" w:cstheme="majorBidi"/>
                <w:sz w:val="20"/>
                <w:szCs w:val="20"/>
                <w:lang w:val="de-DE"/>
              </w:rPr>
              <w:t>/2023</w:t>
            </w:r>
          </w:p>
        </w:tc>
        <w:tc>
          <w:tcPr>
            <w:tcW w:w="1342" w:type="dxa"/>
            <w:vAlign w:val="center"/>
          </w:tcPr>
          <w:p w:rsidR="00BD3215" w:rsidRPr="001C7C77" w:rsidRDefault="00A67843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M1</w:t>
            </w:r>
          </w:p>
        </w:tc>
        <w:tc>
          <w:tcPr>
            <w:tcW w:w="2246" w:type="dxa"/>
            <w:vAlign w:val="center"/>
          </w:tcPr>
          <w:p w:rsidR="00BD3215" w:rsidRPr="001C7C77" w:rsidRDefault="00BD3215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Démarche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d’évaluation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des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risques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professionnels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EvRP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)</w:t>
            </w:r>
          </w:p>
        </w:tc>
        <w:tc>
          <w:tcPr>
            <w:tcW w:w="1728" w:type="dxa"/>
            <w:vAlign w:val="center"/>
          </w:tcPr>
          <w:p w:rsidR="00BD3215" w:rsidRPr="001C7C77" w:rsidRDefault="00BD3215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Hanane</w:t>
            </w:r>
            <w:proofErr w:type="spellEnd"/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OMEIRI</w:t>
            </w:r>
          </w:p>
        </w:tc>
        <w:tc>
          <w:tcPr>
            <w:tcW w:w="992" w:type="dxa"/>
            <w:vAlign w:val="center"/>
          </w:tcPr>
          <w:p w:rsidR="00BD3215" w:rsidRPr="001C7C77" w:rsidRDefault="00BD3215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/20</w:t>
            </w:r>
          </w:p>
        </w:tc>
        <w:tc>
          <w:tcPr>
            <w:tcW w:w="790" w:type="dxa"/>
            <w:vAlign w:val="center"/>
          </w:tcPr>
          <w:p w:rsidR="00BD3215" w:rsidRPr="001C7C77" w:rsidRDefault="00BD3215" w:rsidP="00F6549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1H 3</w:t>
            </w:r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</w:p>
        </w:tc>
      </w:tr>
    </w:tbl>
    <w:p w:rsidR="00FF7CD6" w:rsidRDefault="00FF7CD6"/>
    <w:p w:rsidR="00FF7CD6" w:rsidRDefault="00FF7CD6" w:rsidP="00FF7CD6">
      <w:pPr>
        <w:spacing w:line="240" w:lineRule="auto"/>
        <w:rPr>
          <w:rFonts w:asciiTheme="majorBidi" w:hAnsiTheme="majorBidi" w:cstheme="majorBidi"/>
          <w:b/>
          <w:bCs/>
        </w:rPr>
      </w:pPr>
    </w:p>
    <w:p w:rsidR="00FF7CD6" w:rsidRDefault="00FF7CD6" w:rsidP="00FF7CD6">
      <w:pPr>
        <w:spacing w:line="240" w:lineRule="auto"/>
        <w:rPr>
          <w:rFonts w:asciiTheme="majorBidi" w:hAnsiTheme="majorBidi" w:cstheme="majorBidi"/>
          <w:b/>
          <w:bCs/>
        </w:rPr>
      </w:pPr>
    </w:p>
    <w:p w:rsidR="00FF7CD6" w:rsidRDefault="00FF7CD6" w:rsidP="00FF7CD6">
      <w:pPr>
        <w:spacing w:line="240" w:lineRule="auto"/>
        <w:rPr>
          <w:rFonts w:asciiTheme="majorBidi" w:hAnsiTheme="majorBidi" w:cstheme="majorBidi"/>
          <w:b/>
          <w:bCs/>
        </w:rPr>
      </w:pPr>
    </w:p>
    <w:p w:rsidR="00B66F3C" w:rsidRDefault="00780A0C" w:rsidP="00FF7CD6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Questions</w:t>
      </w:r>
      <w:r w:rsidR="00B66F3C">
        <w:rPr>
          <w:rFonts w:asciiTheme="majorBidi" w:hAnsiTheme="majorBidi" w:cstheme="majorBidi"/>
          <w:b/>
          <w:bCs/>
        </w:rPr>
        <w:t> :</w:t>
      </w:r>
      <w:r w:rsidR="000438DD">
        <w:rPr>
          <w:rFonts w:asciiTheme="majorBidi" w:hAnsiTheme="majorBidi" w:cstheme="majorBidi"/>
          <w:b/>
          <w:bCs/>
        </w:rPr>
        <w:t xml:space="preserve"> 10pts</w:t>
      </w:r>
    </w:p>
    <w:p w:rsidR="00780A0C" w:rsidRDefault="00780A0C" w:rsidP="00780A0C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Pourquoi l’</w:t>
      </w:r>
      <w:proofErr w:type="spellStart"/>
      <w:r>
        <w:rPr>
          <w:rFonts w:asciiTheme="majorBidi" w:hAnsiTheme="majorBidi" w:cstheme="majorBidi"/>
          <w:sz w:val="24"/>
          <w:szCs w:val="24"/>
        </w:rPr>
        <w:t>EvRP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est considérée comme un investissement pour les entreprises ?</w:t>
      </w:r>
    </w:p>
    <w:p w:rsidR="00780A0C" w:rsidRPr="00CE5899" w:rsidRDefault="00A67843" w:rsidP="00CE589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Citer les missions du médecin du travail</w:t>
      </w:r>
      <w:r w:rsidR="00CE5899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p w:rsidR="00FF7CD6" w:rsidRPr="007B2AA0" w:rsidRDefault="00FF7CD6" w:rsidP="00FF7CD6">
      <w:pPr>
        <w:spacing w:line="240" w:lineRule="auto"/>
        <w:rPr>
          <w:rFonts w:asciiTheme="majorBidi" w:hAnsiTheme="majorBidi" w:cstheme="majorBidi"/>
        </w:rPr>
      </w:pPr>
      <w:r w:rsidRPr="007B2AA0">
        <w:rPr>
          <w:rFonts w:asciiTheme="majorBidi" w:hAnsiTheme="majorBidi" w:cstheme="majorBidi"/>
          <w:b/>
          <w:bCs/>
        </w:rPr>
        <w:t>Situation professionnelle :</w:t>
      </w:r>
      <w:r>
        <w:rPr>
          <w:rFonts w:asciiTheme="majorBidi" w:hAnsiTheme="majorBidi" w:cstheme="majorBidi"/>
          <w:b/>
          <w:bCs/>
        </w:rPr>
        <w:t xml:space="preserve"> </w:t>
      </w:r>
      <w:r w:rsidR="000438DD">
        <w:rPr>
          <w:rFonts w:asciiTheme="majorBidi" w:hAnsiTheme="majorBidi" w:cstheme="majorBidi"/>
          <w:b/>
          <w:bCs/>
        </w:rPr>
        <w:t>10pts</w:t>
      </w:r>
    </w:p>
    <w:p w:rsidR="00FF7CD6" w:rsidRPr="007B2AA0" w:rsidRDefault="00B82A0C" w:rsidP="00FF7CD6">
      <w:pPr>
        <w:spacing w:line="240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L'entreprise </w:t>
      </w:r>
      <w:r w:rsidR="00BF3A21">
        <w:rPr>
          <w:rFonts w:asciiTheme="majorBidi" w:hAnsiTheme="majorBidi" w:cstheme="majorBidi"/>
        </w:rPr>
        <w:t>Y</w:t>
      </w:r>
      <w:r w:rsidR="00FF7CD6" w:rsidRPr="007B2AA0">
        <w:rPr>
          <w:rFonts w:asciiTheme="majorBidi" w:hAnsiTheme="majorBidi" w:cstheme="majorBidi"/>
        </w:rPr>
        <w:t xml:space="preserve"> est spécialisée dans la fabrication et la transformation de polyuréthane,   un   matériau   servant   notamment   à   la   fabrication   de   pièces automobiles (volant, boitier de vitesse, accoudoirs de portes ...). Ce matériau est utilisé  dans  de  nombreux  autres  secteurs  (électronique,  militaire,  moules  à béton ... ).</w:t>
      </w:r>
    </w:p>
    <w:p w:rsidR="00FF7CD6" w:rsidRPr="007B2AA0" w:rsidRDefault="00FF7CD6" w:rsidP="00FF7CD6">
      <w:pPr>
        <w:spacing w:line="240" w:lineRule="auto"/>
        <w:ind w:firstLine="567"/>
        <w:jc w:val="both"/>
        <w:rPr>
          <w:rFonts w:asciiTheme="majorBidi" w:hAnsiTheme="majorBidi" w:cstheme="majorBidi"/>
        </w:rPr>
      </w:pPr>
      <w:r w:rsidRPr="007B2AA0">
        <w:rPr>
          <w:rFonts w:asciiTheme="majorBidi" w:hAnsiTheme="majorBidi" w:cstheme="majorBidi"/>
        </w:rPr>
        <w:t>Pour rédiger le document unique sur l’évaluation des risques, l’entreprise fait réaliser par un centre spécialisé des mesures de niveau sonore dans l’atelier de</w:t>
      </w:r>
      <w:r>
        <w:rPr>
          <w:rFonts w:asciiTheme="majorBidi" w:hAnsiTheme="majorBidi" w:cstheme="majorBidi"/>
        </w:rPr>
        <w:t xml:space="preserve"> transformation où</w:t>
      </w:r>
      <w:r w:rsidRPr="007B2AA0">
        <w:rPr>
          <w:rFonts w:asciiTheme="majorBidi" w:hAnsiTheme="majorBidi" w:cstheme="majorBidi"/>
        </w:rPr>
        <w:t xml:space="preserve"> se situent deux mélangeurs de polyuréthane. Elle constate que les niveaux sonores dépassent largement la valeur d'action supérieure (VAS) fixée à 85 dB(A). En effet :</w:t>
      </w:r>
    </w:p>
    <w:p w:rsidR="00FF7CD6" w:rsidRPr="007B2AA0" w:rsidRDefault="00FF7CD6" w:rsidP="00FF7CD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</w:rPr>
      </w:pPr>
      <w:r w:rsidRPr="007B2AA0">
        <w:rPr>
          <w:rFonts w:asciiTheme="majorBidi" w:hAnsiTheme="majorBidi" w:cstheme="majorBidi"/>
        </w:rPr>
        <w:t>le  premier  mélangeur,  assurant  la  fabrication  de   10  à  100  litres  de polyuréthane, génère un bruit strident de 96 dB(A) ;</w:t>
      </w:r>
    </w:p>
    <w:p w:rsidR="00FF7CD6" w:rsidRPr="007B2AA0" w:rsidRDefault="00FF7CD6" w:rsidP="00FF7CD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</w:rPr>
      </w:pPr>
      <w:r w:rsidRPr="007B2AA0">
        <w:rPr>
          <w:rFonts w:asciiTheme="majorBidi" w:hAnsiTheme="majorBidi" w:cstheme="majorBidi"/>
        </w:rPr>
        <w:t>le second mélangeur, de taille plus importante, mis en œuvre pour fabriquer près de trois tonnes de polyuréthane, produit un niveau sonore de 103 dB(A) au poste de travail.</w:t>
      </w:r>
    </w:p>
    <w:p w:rsidR="00FF7CD6" w:rsidRPr="007B2AA0" w:rsidRDefault="00FF7CD6" w:rsidP="00FF7CD6">
      <w:pPr>
        <w:spacing w:line="240" w:lineRule="auto"/>
        <w:ind w:firstLine="567"/>
        <w:jc w:val="both"/>
        <w:rPr>
          <w:rFonts w:asciiTheme="majorBidi" w:hAnsiTheme="majorBidi" w:cstheme="majorBidi"/>
          <w:rtl/>
        </w:rPr>
      </w:pPr>
      <w:r w:rsidRPr="007B2AA0">
        <w:rPr>
          <w:rFonts w:asciiTheme="majorBidi" w:hAnsiTheme="majorBidi" w:cstheme="majorBidi"/>
        </w:rPr>
        <w:t>Monsieur D travaille 7 heures par jour, depuis 15 ans, dans cet atelier. II est obligé de porter des protections individuelles contre le bruit, mais il ne les met pas systématiquement.</w:t>
      </w:r>
    </w:p>
    <w:p w:rsidR="00FF7CD6" w:rsidRPr="007B2AA0" w:rsidRDefault="00FF7CD6" w:rsidP="00FF7CD6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 w:rsidRPr="007B2AA0">
        <w:rPr>
          <w:rFonts w:asciiTheme="majorBidi" w:hAnsiTheme="majorBidi" w:cstheme="majorBidi"/>
        </w:rPr>
        <w:t>Identifier le risque professionnel présenté par cette situation.</w:t>
      </w:r>
    </w:p>
    <w:p w:rsidR="00FF7CD6" w:rsidRPr="007B2AA0" w:rsidRDefault="00FF7CD6" w:rsidP="00FF7CD6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 w:rsidRPr="007B2AA0">
        <w:rPr>
          <w:rFonts w:asciiTheme="majorBidi" w:hAnsiTheme="majorBidi" w:cstheme="majorBidi"/>
        </w:rPr>
        <w:t xml:space="preserve">Schématiser le processus d’apparition du dommage. </w:t>
      </w:r>
    </w:p>
    <w:p w:rsidR="00FF7CD6" w:rsidRPr="007B2AA0" w:rsidRDefault="00FF7CD6" w:rsidP="00FF7CD6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 w:rsidRPr="007B2AA0">
        <w:rPr>
          <w:rFonts w:asciiTheme="majorBidi" w:hAnsiTheme="majorBidi" w:cstheme="majorBidi"/>
        </w:rPr>
        <w:t>Estimer   le risque   lié à la situation, à l’aide du document 1 ci-dessous, en complétant le tableau.</w:t>
      </w:r>
    </w:p>
    <w:p w:rsidR="00FF7CD6" w:rsidRPr="007B2AA0" w:rsidRDefault="00FF7CD6" w:rsidP="00FF7CD6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7B2AA0">
        <w:rPr>
          <w:rFonts w:asciiTheme="majorBidi" w:hAnsiTheme="majorBidi" w:cstheme="majorBidi"/>
          <w:b/>
          <w:bCs/>
        </w:rPr>
        <w:t>Document 1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59"/>
        <w:gridCol w:w="1311"/>
      </w:tblGrid>
      <w:tr w:rsidR="00FF7CD6" w:rsidRPr="007B2AA0" w:rsidTr="00F65490">
        <w:tc>
          <w:tcPr>
            <w:tcW w:w="8359" w:type="dxa"/>
          </w:tcPr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Estimation de la gravité</w:t>
            </w:r>
          </w:p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Faible :</w:t>
            </w:r>
            <w:r w:rsidRPr="007B2AA0">
              <w:rPr>
                <w:rFonts w:asciiTheme="majorBidi" w:hAnsiTheme="majorBidi" w:cstheme="majorBidi"/>
              </w:rPr>
              <w:t xml:space="preserve"> accident du travail (AT) ou maladie professionnelle (MP) sans arrêt de travail</w:t>
            </w:r>
          </w:p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Moyen :</w:t>
            </w:r>
            <w:r w:rsidRPr="007B2AA0">
              <w:rPr>
                <w:rFonts w:asciiTheme="majorBidi" w:hAnsiTheme="majorBidi" w:cstheme="majorBidi"/>
              </w:rPr>
              <w:t xml:space="preserve"> AT ou MP avec arrêt de travail</w:t>
            </w:r>
          </w:p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Grave :</w:t>
            </w:r>
            <w:r w:rsidRPr="007B2AA0">
              <w:rPr>
                <w:rFonts w:asciiTheme="majorBidi" w:hAnsiTheme="majorBidi" w:cstheme="majorBidi"/>
              </w:rPr>
              <w:t xml:space="preserve"> AT ou MP entraînant une incapacité permanente partielle (IPP)</w:t>
            </w:r>
          </w:p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Très grave :</w:t>
            </w:r>
            <w:r w:rsidRPr="007B2AA0">
              <w:rPr>
                <w:rFonts w:asciiTheme="majorBidi" w:hAnsiTheme="majorBidi" w:cstheme="majorBidi"/>
              </w:rPr>
              <w:t xml:space="preserve"> AT ou MP mortelle</w:t>
            </w:r>
          </w:p>
        </w:tc>
        <w:tc>
          <w:tcPr>
            <w:tcW w:w="1311" w:type="dxa"/>
          </w:tcPr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Cotation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1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2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3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FF7CD6" w:rsidRPr="007B2AA0" w:rsidTr="00F65490">
        <w:tc>
          <w:tcPr>
            <w:tcW w:w="8359" w:type="dxa"/>
          </w:tcPr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  <w:noProof/>
                <w:lang w:eastAsia="fr-FR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4CC5597" wp14:editId="3DFC5793">
                  <wp:simplePos x="0" y="0"/>
                  <wp:positionH relativeFrom="column">
                    <wp:posOffset>87630</wp:posOffset>
                  </wp:positionH>
                  <wp:positionV relativeFrom="page">
                    <wp:posOffset>188595</wp:posOffset>
                  </wp:positionV>
                  <wp:extent cx="4976495" cy="2509520"/>
                  <wp:effectExtent l="0" t="0" r="0" b="5080"/>
                  <wp:wrapSquare wrapText="bothSides"/>
                  <wp:docPr id="1" name="Image 1" descr="C:\Users\dell\Desktop\IMPORTANT FILES\COURS ENSEIGNEMENT SKIKDA\COURS HSE INSTALLATIONS INDUSTRIELLES\Sans ti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IMPORTANT FILES\COURS ENSEIGNEMENT SKIKDA\COURS HSE INSTALLATIONS INDUSTRIELLES\Sans ti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495" cy="250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AA0">
              <w:rPr>
                <w:rFonts w:asciiTheme="majorBidi" w:hAnsiTheme="majorBidi" w:cstheme="majorBidi"/>
                <w:b/>
                <w:bCs/>
              </w:rPr>
              <w:t>Estimation de la probabilité</w:t>
            </w:r>
          </w:p>
        </w:tc>
        <w:tc>
          <w:tcPr>
            <w:tcW w:w="1311" w:type="dxa"/>
          </w:tcPr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Cotation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1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2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3</w:t>
            </w: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FF7CD6" w:rsidRPr="007B2AA0" w:rsidRDefault="00FF7CD6" w:rsidP="00F65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</w:tbl>
    <w:p w:rsidR="00FF7CD6" w:rsidRDefault="00FF7CD6" w:rsidP="00FF7CD6">
      <w:pPr>
        <w:spacing w:line="240" w:lineRule="auto"/>
        <w:jc w:val="both"/>
        <w:rPr>
          <w:rFonts w:asciiTheme="majorBidi" w:hAnsiTheme="majorBidi" w:cstheme="majorBidi"/>
        </w:rPr>
      </w:pPr>
    </w:p>
    <w:tbl>
      <w:tblPr>
        <w:tblStyle w:val="Grilledutableau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337"/>
        <w:gridCol w:w="2627"/>
        <w:gridCol w:w="2977"/>
        <w:gridCol w:w="2729"/>
      </w:tblGrid>
      <w:tr w:rsidR="00FF7CD6" w:rsidRPr="007B2AA0" w:rsidTr="00F65490">
        <w:tc>
          <w:tcPr>
            <w:tcW w:w="1337" w:type="dxa"/>
          </w:tcPr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27" w:type="dxa"/>
          </w:tcPr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 xml:space="preserve">Fréquence et/ou durée d’exposition au danger </w:t>
            </w:r>
          </w:p>
        </w:tc>
        <w:tc>
          <w:tcPr>
            <w:tcW w:w="2977" w:type="dxa"/>
          </w:tcPr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Probabilité d’apparition d’un évènement dangereux</w:t>
            </w:r>
          </w:p>
        </w:tc>
        <w:tc>
          <w:tcPr>
            <w:tcW w:w="2729" w:type="dxa"/>
          </w:tcPr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Probabilité d’apparition du dommage</w:t>
            </w:r>
          </w:p>
        </w:tc>
      </w:tr>
      <w:tr w:rsidR="00FF7CD6" w:rsidRPr="007B2AA0" w:rsidTr="00F65490">
        <w:tc>
          <w:tcPr>
            <w:tcW w:w="1337" w:type="dxa"/>
          </w:tcPr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B2AA0">
              <w:rPr>
                <w:rFonts w:asciiTheme="majorBidi" w:hAnsiTheme="majorBidi" w:cstheme="majorBidi"/>
                <w:b/>
                <w:bCs/>
              </w:rPr>
              <w:t>Estimation du risque</w:t>
            </w:r>
          </w:p>
        </w:tc>
        <w:tc>
          <w:tcPr>
            <w:tcW w:w="2627" w:type="dxa"/>
          </w:tcPr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7" w:type="dxa"/>
          </w:tcPr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29" w:type="dxa"/>
          </w:tcPr>
          <w:p w:rsidR="00FF7CD6" w:rsidRPr="007B2AA0" w:rsidRDefault="00FF7CD6" w:rsidP="00F6549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FF7CD6" w:rsidRPr="00D668CD" w:rsidRDefault="00FF7CD6" w:rsidP="00FF7CD6">
      <w:pPr>
        <w:spacing w:line="240" w:lineRule="auto"/>
        <w:jc w:val="both"/>
        <w:rPr>
          <w:rFonts w:asciiTheme="majorBidi" w:hAnsiTheme="majorBidi" w:cstheme="majorBidi"/>
        </w:rPr>
      </w:pPr>
    </w:p>
    <w:p w:rsidR="00FF7CD6" w:rsidRPr="00B04312" w:rsidRDefault="0053515C" w:rsidP="00B04312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</w:rPr>
        <w:sectPr w:rsidR="00FF7CD6" w:rsidRPr="00B043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20" w:h="16840"/>
          <w:pgMar w:top="840" w:right="1060" w:bottom="280" w:left="1080" w:header="0" w:footer="0" w:gutter="0"/>
          <w:cols w:space="720" w:equalWidth="0">
            <w:col w:w="9680"/>
          </w:cols>
          <w:noEndnote/>
        </w:sectPr>
      </w:pPr>
      <w:r w:rsidRPr="00670F1B">
        <w:rPr>
          <w:rFonts w:asciiTheme="majorBidi" w:hAnsiTheme="majorBidi" w:cstheme="majorBidi"/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1F7A93C" wp14:editId="652418F8">
            <wp:simplePos x="0" y="0"/>
            <wp:positionH relativeFrom="margin">
              <wp:posOffset>711200</wp:posOffset>
            </wp:positionH>
            <wp:positionV relativeFrom="page">
              <wp:posOffset>4810125</wp:posOffset>
            </wp:positionV>
            <wp:extent cx="4815205" cy="2428875"/>
            <wp:effectExtent l="0" t="0" r="4445" b="9525"/>
            <wp:wrapTopAndBottom/>
            <wp:docPr id="2" name="Image 2" descr="C:\Users\dell\Desktop\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OC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0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CD6" w:rsidRPr="007B2AA0">
        <w:rPr>
          <w:rFonts w:asciiTheme="majorBidi" w:hAnsiTheme="majorBidi" w:cstheme="majorBidi"/>
        </w:rPr>
        <w:t xml:space="preserve">Indiquer à l’aide d’une croix, le niveau de priorité de réduction du </w:t>
      </w:r>
      <w:r w:rsidR="00780A0C">
        <w:rPr>
          <w:rFonts w:asciiTheme="majorBidi" w:hAnsiTheme="majorBidi" w:cstheme="majorBidi"/>
        </w:rPr>
        <w:t>risque sur le document suiva</w:t>
      </w:r>
      <w:r w:rsidR="000438DD">
        <w:rPr>
          <w:rFonts w:asciiTheme="majorBidi" w:hAnsiTheme="majorBidi" w:cstheme="majorBidi"/>
        </w:rPr>
        <w:t>nt</w:t>
      </w:r>
    </w:p>
    <w:p w:rsidR="00FF7CD6" w:rsidRDefault="000438DD" w:rsidP="00B04312">
      <w:pPr>
        <w:spacing w:line="240" w:lineRule="auto"/>
        <w:rPr>
          <w:rFonts w:asciiTheme="majorBidi" w:hAnsiTheme="majorBidi" w:cstheme="majorBidi"/>
          <w:sz w:val="24"/>
          <w:szCs w:val="24"/>
        </w:rPr>
        <w:sectPr w:rsidR="00FF7CD6">
          <w:type w:val="continuous"/>
          <w:pgSz w:w="11820" w:h="16840"/>
          <w:pgMar w:top="1560" w:right="1060" w:bottom="280" w:left="1080" w:header="720" w:footer="720" w:gutter="0"/>
          <w:cols w:num="2" w:space="720" w:equalWidth="0">
            <w:col w:w="5448" w:space="706"/>
            <w:col w:w="3526"/>
          </w:cols>
          <w:noEndnote/>
        </w:sectPr>
      </w:pPr>
      <w:r>
        <w:rPr>
          <w:rFonts w:asciiTheme="majorBidi" w:hAnsiTheme="majorBidi" w:cstheme="majorBid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68F67" wp14:editId="0CF8548A">
                <wp:simplePos x="0" y="0"/>
                <wp:positionH relativeFrom="column">
                  <wp:posOffset>2514600</wp:posOffset>
                </wp:positionH>
                <wp:positionV relativeFrom="paragraph">
                  <wp:posOffset>3705860</wp:posOffset>
                </wp:positionV>
                <wp:extent cx="1600200" cy="438150"/>
                <wp:effectExtent l="0" t="0" r="1905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8DD" w:rsidRPr="000438DD" w:rsidRDefault="000438DD" w:rsidP="000438D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38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Bon courage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468F67" id="Rectangle à coins arrondis 3" o:spid="_x0000_s1026" style="position:absolute;margin-left:198pt;margin-top:291.8pt;width:126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0438DD" w:rsidRPr="000438DD" w:rsidRDefault="000438DD" w:rsidP="000438D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438D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Bon courage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60A8" w:rsidRPr="00FF7CD6" w:rsidRDefault="004C4AC6" w:rsidP="00FF7CD6"/>
    <w:sectPr w:rsidR="007560A8" w:rsidRPr="00FF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C6" w:rsidRDefault="004C4AC6">
      <w:pPr>
        <w:spacing w:after="0" w:line="240" w:lineRule="auto"/>
      </w:pPr>
      <w:r>
        <w:separator/>
      </w:r>
    </w:p>
  </w:endnote>
  <w:endnote w:type="continuationSeparator" w:id="0">
    <w:p w:rsidR="004C4AC6" w:rsidRDefault="004C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15C" w:rsidRDefault="0053515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sz w:val="24"/>
        <w:szCs w:val="24"/>
      </w:rPr>
      <w:id w:val="6486383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24"/>
            <w:szCs w:val="24"/>
          </w:rPr>
          <w:id w:val="-887037725"/>
          <w:docPartObj>
            <w:docPartGallery w:val="Page Numbers (Top of Page)"/>
            <w:docPartUnique/>
          </w:docPartObj>
        </w:sdtPr>
        <w:sdtEndPr/>
        <w:sdtContent>
          <w:p w:rsidR="00B66F3C" w:rsidRPr="0053515C" w:rsidRDefault="00B66F3C">
            <w:pPr>
              <w:pStyle w:val="Pieddepag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3515C">
              <w:rPr>
                <w:rFonts w:asciiTheme="majorBidi" w:hAnsiTheme="majorBidi" w:cstheme="majorBidi"/>
                <w:sz w:val="24"/>
                <w:szCs w:val="24"/>
              </w:rPr>
              <w:t xml:space="preserve">Page </w: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PAGE</w:instrTex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CE589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3</w: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53515C">
              <w:rPr>
                <w:rFonts w:asciiTheme="majorBidi" w:hAnsiTheme="majorBidi" w:cstheme="majorBidi"/>
                <w:sz w:val="24"/>
                <w:szCs w:val="24"/>
              </w:rPr>
              <w:t xml:space="preserve"> sur </w: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NUMPAGES</w:instrTex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CE589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3</w:t>
            </w:r>
            <w:r w:rsidRPr="00535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0B01" w:rsidRDefault="004C4AC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15C" w:rsidRDefault="005351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C6" w:rsidRDefault="004C4AC6">
      <w:pPr>
        <w:spacing w:after="0" w:line="240" w:lineRule="auto"/>
      </w:pPr>
      <w:r>
        <w:separator/>
      </w:r>
    </w:p>
  </w:footnote>
  <w:footnote w:type="continuationSeparator" w:id="0">
    <w:p w:rsidR="004C4AC6" w:rsidRDefault="004C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15C" w:rsidRDefault="0053515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15C" w:rsidRDefault="0053515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15C" w:rsidRDefault="0053515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F57"/>
    <w:multiLevelType w:val="hybridMultilevel"/>
    <w:tmpl w:val="AFA619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3FD6"/>
    <w:multiLevelType w:val="hybridMultilevel"/>
    <w:tmpl w:val="75BAE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85BB5"/>
    <w:multiLevelType w:val="hybridMultilevel"/>
    <w:tmpl w:val="A31CDA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E05E5"/>
    <w:multiLevelType w:val="hybridMultilevel"/>
    <w:tmpl w:val="DD2A4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7F"/>
    <w:rsid w:val="000438DD"/>
    <w:rsid w:val="003B3B7F"/>
    <w:rsid w:val="003E0DA7"/>
    <w:rsid w:val="004C4AC6"/>
    <w:rsid w:val="005247E2"/>
    <w:rsid w:val="0053515C"/>
    <w:rsid w:val="00780A0C"/>
    <w:rsid w:val="00A67843"/>
    <w:rsid w:val="00B04312"/>
    <w:rsid w:val="00B66F3C"/>
    <w:rsid w:val="00B82A0C"/>
    <w:rsid w:val="00BD3215"/>
    <w:rsid w:val="00BF3A21"/>
    <w:rsid w:val="00CE5899"/>
    <w:rsid w:val="00CF57D9"/>
    <w:rsid w:val="00D82623"/>
    <w:rsid w:val="00E54B65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953D5-9F62-4007-96BE-4931E969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C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F7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6F3C"/>
  </w:style>
  <w:style w:type="paragraph" w:styleId="Pieddepage">
    <w:name w:val="footer"/>
    <w:basedOn w:val="Normal"/>
    <w:link w:val="PieddepageCar"/>
    <w:uiPriority w:val="99"/>
    <w:unhideWhenUsed/>
    <w:rsid w:val="00B6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2023-01-21T18:13:00Z</dcterms:created>
  <dcterms:modified xsi:type="dcterms:W3CDTF">2023-06-14T22:10:00Z</dcterms:modified>
</cp:coreProperties>
</file>