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E1" w:rsidRPr="002E3D0D" w:rsidRDefault="00381FE1" w:rsidP="00381FE1">
      <w:pPr>
        <w:bidi/>
        <w:jc w:val="center"/>
        <w:rPr>
          <w:rFonts w:ascii="Traditional Arabic" w:hAnsi="Traditional Arabic" w:cs="Traditional Arabic"/>
          <w:b/>
          <w:bCs/>
          <w:sz w:val="40"/>
          <w:szCs w:val="40"/>
          <w:rtl/>
        </w:rPr>
      </w:pPr>
      <w:r w:rsidRPr="002E3D0D">
        <w:rPr>
          <w:rFonts w:ascii="Traditional Arabic" w:hAnsi="Traditional Arabic" w:cs="Traditional Arabic"/>
          <w:b/>
          <w:bCs/>
          <w:sz w:val="40"/>
          <w:szCs w:val="40"/>
          <w:u w:val="single"/>
          <w:rtl/>
        </w:rPr>
        <w:t xml:space="preserve">المحاضرة </w:t>
      </w:r>
      <w:r>
        <w:rPr>
          <w:rFonts w:ascii="Traditional Arabic" w:hAnsi="Traditional Arabic" w:cs="Traditional Arabic" w:hint="cs"/>
          <w:b/>
          <w:bCs/>
          <w:sz w:val="40"/>
          <w:szCs w:val="40"/>
          <w:u w:val="single"/>
          <w:rtl/>
        </w:rPr>
        <w:t>الثانية</w:t>
      </w:r>
      <w:r w:rsidRPr="002E3D0D">
        <w:rPr>
          <w:rFonts w:ascii="Traditional Arabic" w:hAnsi="Traditional Arabic" w:cs="Traditional Arabic" w:hint="cs"/>
          <w:b/>
          <w:bCs/>
          <w:sz w:val="40"/>
          <w:szCs w:val="40"/>
          <w:rtl/>
        </w:rPr>
        <w:t xml:space="preserve">: </w:t>
      </w:r>
      <w:r w:rsidRPr="002E3D0D">
        <w:rPr>
          <w:rFonts w:ascii="Traditional Arabic" w:hAnsi="Traditional Arabic" w:cs="Traditional Arabic"/>
          <w:b/>
          <w:bCs/>
          <w:sz w:val="40"/>
          <w:szCs w:val="40"/>
          <w:u w:val="single"/>
          <w:rtl/>
        </w:rPr>
        <w:t>أشكال التعبير في الأدب الشعبي المغاربي</w:t>
      </w:r>
    </w:p>
    <w:p w:rsidR="00381FE1" w:rsidRPr="002E3D0D" w:rsidRDefault="00381FE1" w:rsidP="00381FE1">
      <w:pPr>
        <w:bidi/>
        <w:jc w:val="center"/>
        <w:rPr>
          <w:rFonts w:ascii="Traditional Arabic" w:hAnsi="Traditional Arabic" w:cs="Traditional Arabic"/>
          <w:b/>
          <w:bCs/>
          <w:sz w:val="34"/>
          <w:szCs w:val="34"/>
        </w:rPr>
      </w:pPr>
    </w:p>
    <w:p w:rsidR="00381FE1" w:rsidRPr="002E3D0D" w:rsidRDefault="00381FE1" w:rsidP="00381FE1">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تمهيد</w:t>
      </w:r>
      <w:r w:rsidRPr="002E3D0D">
        <w:rPr>
          <w:rFonts w:ascii="Traditional Arabic" w:hAnsi="Traditional Arabic" w:cs="Traditional Arabic" w:hint="cs"/>
          <w:b/>
          <w:bCs/>
          <w:sz w:val="34"/>
          <w:szCs w:val="34"/>
          <w:u w:val="single"/>
          <w:rtl/>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يت</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سم الأدب الشعبي المغاربي بتعدد أشكاله التعبيرية وغناها، وهو تنوع لا يمكن فصله عن التراث الإنساني العام، إذ تكشف المقارنة بين آداب الشعوب عن وجود تماثلات بنيوية وموضوعية بين مختلف الأشكال الشعبية، سواء في طرائق السرد أو في القضايا التي تعالجها. ولا يُعدّ هذا التداخل ظاهرة عرضية، بل هو نتيجة طبيعية لتقاطع التجارب الإنسانية، وتشابه الظروف الاجتماعية والاقتصادية والروحية التي أنتجت هذه النصوص</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وتزداد هذه الظاهرة وضوحًا في منطقة المغرب العربي، بحكم اتساعها الجغرافي، وتعدد بيئاتها الطبيعية، وتنوع مكوناتها الثقافية واللغوية، فضلًا عن عمقها التاريخي، واختلاط شعوبها عبر العصور بشعوب المتوسط وإفريقيا والمشرق العربي. ومن ثمّ، فإن دراسة أشكال التعبير في الأدب الشعبي المغاربي تقتضي ربطها بسياقها المحلي، مع الانفتاح على نظيراتها في الأدب الشعبي العربي والإنساني</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أولًا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الحكايات الشعبية العجيبة</w:t>
      </w:r>
      <w:r w:rsidRPr="002E3D0D">
        <w:rPr>
          <w:rFonts w:ascii="Traditional Arabic" w:hAnsi="Traditional Arabic" w:cs="Traditional Arabic" w:hint="cs"/>
          <w:b/>
          <w:bCs/>
          <w:sz w:val="34"/>
          <w:szCs w:val="34"/>
          <w:u w:val="single"/>
          <w:rtl/>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تُعدّ الحكاية الشعبية العجيبة من أكثر الأشكال السردية حضورًا في الأدب الشعبي المغاربي، لما تنطوي عليه من عناصر التشويق والغرابة والخيال. وقد أكدت الدراسات الإثنوغرافية والأنثروبولوجية، منذ زمن ابن خلدون، غنى المغرب العربي بهذا اللون القصصي، ولا سيما في المناطق الناطقة بالأمازيغية، التي انتقلت بعض نصوصها لاحقًا إلى العربية بعد انتشارها في أعقاب الفتوحات الإسلامية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وقد لاحظ الباحثون أن هذا النوع من الحكايات عرف عملية تهجين واضحة خلال فترات الاحتكاك الثقافي، خاصة في مرحلة الحكم العربي، حيث تداخلت عناصر الحكاية العجيبة مع عناصر الملحمة الشعبية، كما هو الحال في بعض القصص ال</w:t>
      </w:r>
      <w:r w:rsidRPr="002E3D0D">
        <w:rPr>
          <w:rFonts w:ascii="Traditional Arabic" w:hAnsi="Traditional Arabic" w:cs="Traditional Arabic" w:hint="cs"/>
          <w:sz w:val="34"/>
          <w:szCs w:val="34"/>
          <w:rtl/>
        </w:rPr>
        <w:t>هلالي</w:t>
      </w:r>
      <w:r w:rsidRPr="002E3D0D">
        <w:rPr>
          <w:rFonts w:ascii="Traditional Arabic" w:hAnsi="Traditional Arabic" w:cs="Traditional Arabic"/>
          <w:sz w:val="34"/>
          <w:szCs w:val="34"/>
          <w:rtl/>
        </w:rPr>
        <w:t>ة، مما أضفى عليها أبعادًا بطولية وتاريخية إضافية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lastRenderedPageBreak/>
        <w:t xml:space="preserve">       </w:t>
      </w:r>
      <w:r w:rsidRPr="002E3D0D">
        <w:rPr>
          <w:rFonts w:ascii="Traditional Arabic" w:hAnsi="Traditional Arabic" w:cs="Traditional Arabic"/>
          <w:sz w:val="34"/>
          <w:szCs w:val="34"/>
          <w:rtl/>
        </w:rPr>
        <w:t>تكشف الحكاية العجيبة عن نزوع المخيال الشعبي إلى تجاوز حدود الواقع، وتعويض العجز الإنساني عن السيطرة على الطبيعة بابتكار عوالم رمزية بديلة، تتداخل فيها القوى الخارقة مع الحياة اليومية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ثانيًا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المغازي</w:t>
      </w:r>
      <w:r w:rsidRPr="002E3D0D">
        <w:rPr>
          <w:rFonts w:ascii="Traditional Arabic" w:hAnsi="Traditional Arabic" w:cs="Traditional Arabic" w:hint="cs"/>
          <w:b/>
          <w:bCs/>
          <w:sz w:val="34"/>
          <w:szCs w:val="34"/>
          <w:u w:val="single"/>
          <w:rtl/>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تُعدّ المغازي أحد الأشكال الأدبية الشعبية ذات الطابع الملحمي في المغرب العربي، وقد عرفت انتشارًا واسعًا خاصة مع بدايات الحركة الاستعمارية. وكان رواة هذا اللون الأدبي من المدّاحين، كما جاء في القول</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وهم رواةٌ لقصصٍ كانوا يجوبون الأسواق وينتقلون بين المراكز السكانية المختلفة في المغرب</w:t>
      </w:r>
      <w:r w:rsidRPr="002E3D0D">
        <w:rPr>
          <w:rtl/>
        </w:rPr>
        <w:t xml:space="preserve"> </w:t>
      </w:r>
      <w:r w:rsidRPr="002E3D0D">
        <w:rPr>
          <w:rFonts w:ascii="Traditional Arabic" w:hAnsi="Traditional Arabic" w:cs="Traditional Arabic"/>
          <w:sz w:val="34"/>
          <w:szCs w:val="34"/>
          <w:rtl/>
        </w:rPr>
        <w:t>العربي. يمثّل هذا الشكل التعبيري أدبًا ملحميًا استمدّ عناصره من الثقافة العربية الإسلامية، وقد تبلورت بعض مواده في سياق تطورها في حكايات شعبية بطولية</w:t>
      </w:r>
      <w:r w:rsidRPr="002E3D0D">
        <w:rPr>
          <w:rFonts w:ascii="Traditional Arabic" w:hAnsi="Traditional Arabic" w:cs="Traditional Arabic"/>
          <w:sz w:val="34"/>
          <w:szCs w:val="34"/>
        </w:rPr>
        <w:t>..</w:t>
      </w:r>
      <w:r w:rsidRPr="002E3D0D">
        <w:rPr>
          <w:rFonts w:ascii="Traditional Arabic" w:hAnsi="Traditional Arabic" w:cs="Traditional Arabic"/>
          <w:sz w:val="34"/>
          <w:szCs w:val="34"/>
          <w:rtl/>
        </w:rPr>
        <w:t>.</w:t>
      </w:r>
      <w:r w:rsidRPr="002E3D0D">
        <w:rPr>
          <w:rFonts w:ascii="Traditional Arabic" w:hAnsi="Traditional Arabic" w:cs="Traditional Arabic" w:hint="cs"/>
          <w:sz w:val="34"/>
          <w:szCs w:val="34"/>
          <w:rtl/>
        </w:rPr>
        <w:t>"</w:t>
      </w:r>
    </w:p>
    <w:p w:rsidR="00381FE1" w:rsidRPr="002E3D0D" w:rsidRDefault="00381FE1" w:rsidP="00381FE1">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ويستمد هذا اللون مادته من الثقافة العربية الإسلامية، حيث يجمع بين السرد التاريخي والبعد الديني والوظيفة التحريضية، لا سيما في سياقات المقاومة والدفاع عن الهوية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ثالثًا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القصص الهلالية</w:t>
      </w:r>
      <w:r w:rsidRPr="002E3D0D">
        <w:rPr>
          <w:rFonts w:ascii="Traditional Arabic" w:hAnsi="Traditional Arabic" w:cs="Traditional Arabic" w:hint="cs"/>
          <w:b/>
          <w:bCs/>
          <w:sz w:val="34"/>
          <w:szCs w:val="34"/>
          <w:u w:val="single"/>
          <w:rtl/>
        </w:rPr>
        <w:t>:</w:t>
      </w:r>
    </w:p>
    <w:p w:rsidR="00381FE1" w:rsidRPr="002E3D0D" w:rsidRDefault="00381FE1" w:rsidP="00381FE1">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يمثل القصص الهلالي لونًا قصصيًا شعبيًا ملحميًا ذا طبيعة بدوية، يخلّد سيرة بني هلال، وينتشر أساسًا في ليبيا وتونس والجزائر. وقد أشار الباحثون إلى تنوع رواياته واختلاف أبطاله بحسب المناطق، كما ورد في القول</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وتختلف رواياته وأبطاله تبعًا للمناطق المختلفة، وقد عرف تطورًا في بنيته الشكلية لما امتزج بالحكاية الشعبية، وكذلك بقصص كرامات الأولياء في البلدان المغاربية</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p>
    <w:p w:rsidR="00381FE1" w:rsidRPr="002E3D0D" w:rsidRDefault="00381FE1" w:rsidP="00381FE1">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يعكس هذا اللون السردي التحولات الاجتماعية والثقافية التي عرفتها المجتمعات المغاربية، كما يجسد التداخل بين التاريخ والأسطورة والذاكرة الجماعية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tl/>
        </w:rPr>
      </w:pPr>
    </w:p>
    <w:p w:rsidR="00381FE1" w:rsidRDefault="00381FE1" w:rsidP="00381FE1">
      <w:pPr>
        <w:bidi/>
        <w:jc w:val="both"/>
        <w:rPr>
          <w:rFonts w:ascii="Traditional Arabic" w:hAnsi="Traditional Arabic" w:cs="Traditional Arabic" w:hint="cs"/>
          <w:b/>
          <w:bCs/>
          <w:sz w:val="34"/>
          <w:szCs w:val="34"/>
          <w:u w:val="single"/>
          <w:rtl/>
        </w:rPr>
      </w:pPr>
    </w:p>
    <w:p w:rsidR="00381FE1" w:rsidRDefault="00381FE1" w:rsidP="00381FE1">
      <w:pPr>
        <w:bidi/>
        <w:jc w:val="both"/>
        <w:rPr>
          <w:rFonts w:ascii="Traditional Arabic" w:hAnsi="Traditional Arabic" w:cs="Traditional Arabic" w:hint="cs"/>
          <w:b/>
          <w:bCs/>
          <w:sz w:val="34"/>
          <w:szCs w:val="34"/>
          <w:u w:val="single"/>
          <w:rtl/>
        </w:rPr>
      </w:pPr>
    </w:p>
    <w:p w:rsidR="00381FE1" w:rsidRPr="002E3D0D" w:rsidRDefault="00381FE1" w:rsidP="00381FE1">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lastRenderedPageBreak/>
        <w:t>رابعًا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شعر الحكمة الشعبي</w:t>
      </w:r>
      <w:r w:rsidRPr="002E3D0D">
        <w:rPr>
          <w:rFonts w:ascii="Traditional Arabic" w:hAnsi="Traditional Arabic" w:cs="Traditional Arabic" w:hint="cs"/>
          <w:b/>
          <w:bCs/>
          <w:sz w:val="34"/>
          <w:szCs w:val="34"/>
          <w:u w:val="single"/>
          <w:rtl/>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ينتشر شعر الحكمة الشعبي في مختلف أقاليم المغرب العربي، وغالبًا ما يُنظم في قالب الرباعيات، ويُعدّ وسيلة للتعبير عن التجربة الإنسانية المكثفة، والحكمة المتوارثة. ويُعدّ الشيخ عبد الرحمن المجذوب من أبرز رموزه، رغم ما أثارته شخصيته من التباس، لكثرة ما نُسب إليه من أشعار بلهجات مغاربية متعددة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وقد نُشرت له مجموعات شعرية في الجزائر، تحمل ملامح اللهجة الجزائرية، على الرغم من أن المصادر التاريخية تشير إلى أنه عاش في المغرب الأقصى، وهو ما يعكس الطابع المغاربي المشترك لهذا الشعر، وتجاوزه للحدود الجغرافية والسياسية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خامسًا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الأمثال والألغاز الشعبية</w:t>
      </w:r>
      <w:r w:rsidRPr="002E3D0D">
        <w:rPr>
          <w:rFonts w:ascii="Traditional Arabic" w:hAnsi="Traditional Arabic" w:cs="Traditional Arabic" w:hint="cs"/>
          <w:b/>
          <w:bCs/>
          <w:sz w:val="34"/>
          <w:szCs w:val="34"/>
          <w:u w:val="single"/>
          <w:rtl/>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تشترك الأمثال والألغاز الشعبية في أصول حضارية وثقافية واحدة، وقد تعود بعض نصوصها إلى الأدب الجاهلي أو إلى صدر الإسلام، تبعًا للعوامل الجغرافية والدينية والتاريخية. ومن الألغاز ذات الجذور الجاهلية لغز الميزان</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قاعد ومريح</w:t>
      </w:r>
      <w:r w:rsidRPr="002E3D0D">
        <w:rPr>
          <w:rFonts w:ascii="Traditional Arabic" w:hAnsi="Traditional Arabic" w:cs="Traditional Arabic"/>
          <w:sz w:val="34"/>
          <w:szCs w:val="34"/>
        </w:rPr>
        <w:t xml:space="preserve">  </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والختَ يجبو</w:t>
      </w:r>
      <w:r w:rsidRPr="002E3D0D">
        <w:rPr>
          <w:rFonts w:ascii="Traditional Arabic" w:hAnsi="Traditional Arabic" w:cs="Traditional Arabic"/>
          <w:sz w:val="34"/>
          <w:szCs w:val="34"/>
        </w:rPr>
        <w:t xml:space="preserve">  </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لكل</w:t>
      </w:r>
      <w:r w:rsidRPr="002E3D0D">
        <w:rPr>
          <w:rFonts w:ascii="Traditional Arabic" w:hAnsi="Traditional Arabic" w:cs="Traditional Arabic" w:hint="cs"/>
          <w:sz w:val="34"/>
          <w:szCs w:val="34"/>
          <w:rtl/>
        </w:rPr>
        <w:t>ب</w:t>
      </w:r>
      <w:r w:rsidRPr="002E3D0D">
        <w:rPr>
          <w:rFonts w:ascii="Traditional Arabic" w:hAnsi="Traditional Arabic" w:cs="Traditional Arabic"/>
          <w:sz w:val="34"/>
          <w:szCs w:val="34"/>
          <w:rtl/>
        </w:rPr>
        <w:t>ـ ما يتكلم</w:t>
      </w:r>
      <w:r w:rsidRPr="002E3D0D">
        <w:rPr>
          <w:rFonts w:ascii="Traditional Arabic" w:hAnsi="Traditional Arabic" w:cs="Traditional Arabic"/>
          <w:sz w:val="34"/>
          <w:szCs w:val="34"/>
        </w:rPr>
        <w:t xml:space="preserve">  </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والحق يعطيو</w:t>
      </w:r>
    </w:p>
    <w:p w:rsidR="00381FE1" w:rsidRPr="002E3D0D" w:rsidRDefault="00381FE1" w:rsidP="00381FE1">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وهو لغز ورد له نظير في الشعر الجاهلي، كما في قول امرئ القيس</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w:t>
      </w:r>
      <w:r w:rsidRPr="002E3D0D">
        <w:rPr>
          <w:rtl/>
        </w:rPr>
        <w:t xml:space="preserve"> </w:t>
      </w:r>
      <w:r w:rsidRPr="002E3D0D">
        <w:rPr>
          <w:rFonts w:ascii="Traditional Arabic" w:hAnsi="Traditional Arabic" w:cs="Traditional Arabic"/>
          <w:sz w:val="34"/>
          <w:szCs w:val="34"/>
          <w:rtl/>
        </w:rPr>
        <w:t>ما الحاكمون بلا سمعٍ ولا بصرٍ ولا لسانٍ فصيحٍ يُعجب الناس</w:t>
      </w:r>
      <w:r w:rsidRPr="002E3D0D">
        <w:rPr>
          <w:rFonts w:ascii="Traditional Arabic" w:hAnsi="Traditional Arabic" w:cs="Traditional Arabic"/>
          <w:sz w:val="34"/>
          <w:szCs w:val="34"/>
        </w:rPr>
        <w:t>. "</w:t>
      </w:r>
    </w:p>
    <w:p w:rsidR="00381FE1" w:rsidRPr="002E3D0D" w:rsidRDefault="00381FE1" w:rsidP="00381FE1">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وجاء رد عبيد بن الأبرص</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w:t>
      </w:r>
      <w:r w:rsidRPr="002E3D0D">
        <w:rPr>
          <w:rtl/>
        </w:rPr>
        <w:t xml:space="preserve"> </w:t>
      </w:r>
      <w:r w:rsidRPr="002E3D0D">
        <w:rPr>
          <w:rFonts w:ascii="Traditional Arabic" w:hAnsi="Traditional Arabic" w:cs="Traditional Arabic"/>
          <w:sz w:val="34"/>
          <w:szCs w:val="34"/>
          <w:rtl/>
        </w:rPr>
        <w:t>هي الموازين، والرحمن أنزلها ربُّ البرية بين الناس مقياسًا</w:t>
      </w:r>
      <w:r w:rsidRPr="002E3D0D">
        <w:rPr>
          <w:rFonts w:ascii="Traditional Arabic" w:hAnsi="Traditional Arabic" w:cs="Traditional Arabic"/>
          <w:sz w:val="34"/>
          <w:szCs w:val="34"/>
        </w:rPr>
        <w:t xml:space="preserve"> "</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lastRenderedPageBreak/>
        <w:t xml:space="preserve">       </w:t>
      </w:r>
      <w:r w:rsidRPr="002E3D0D">
        <w:rPr>
          <w:rFonts w:ascii="Traditional Arabic" w:hAnsi="Traditional Arabic" w:cs="Traditional Arabic"/>
          <w:sz w:val="34"/>
          <w:szCs w:val="34"/>
          <w:rtl/>
        </w:rPr>
        <w:t>وتحضر الثقافة العربية الإسلامية بقوة في الأمثال والألغاز، كما في القول</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فهناك ألغازٌ ترتبط بقصص الأنبياء، مثل قولهم: (ثلاثة بلا والدين، واحدٌ عاصٍ وزوجٌ تائبان)، والحل هو: (إبليس، وآدم، وحواء). وألغازٌ ترتبط بالشعائر الدينية، كقولهم في الكعبة المشرفة: (كحلا يا لزلبها، واللي يشوفها يتمناها</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ويفسر عبد اللطيف الدليشي هذا التشابه بقوله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tl/>
        </w:rPr>
        <w:t xml:space="preserve"> </w:t>
      </w:r>
      <w:r w:rsidRPr="002E3D0D">
        <w:rPr>
          <w:rFonts w:ascii="Traditional Arabic" w:hAnsi="Traditional Arabic" w:cs="Traditional Arabic"/>
          <w:sz w:val="34"/>
          <w:szCs w:val="34"/>
          <w:rtl/>
        </w:rPr>
        <w:t>والمثل ما هو مقتبسٌ في معناه من آيِ القرآن الكريم أو الحديث النبوي الشريف أو المثل الفصيح، أو ما هو مُحرَّفٌ في لفظه من المثل الفصيح أيضًا. كما أن منه ما يعتمد في معناه على أحداث تاريخية أو اجتماعية معيّنة، أو أبطالٍ اتصفوا بالشجاعة أو الكرم، أو الوفاء أو الإيثار</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381FE1" w:rsidRPr="002E3D0D" w:rsidRDefault="00381FE1" w:rsidP="00381FE1">
      <w:pPr>
        <w:bidi/>
        <w:jc w:val="both"/>
        <w:rPr>
          <w:rFonts w:ascii="Traditional Arabic" w:hAnsi="Traditional Arabic" w:cs="Traditional Arabic"/>
          <w:sz w:val="34"/>
          <w:szCs w:val="34"/>
          <w:rtl/>
          <w:lang w:bidi="ar-DZ"/>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ويرى بعض الباحثين أن هذا التماثل يعود إلى الإبداع الجماعي للشعوب</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tl/>
        </w:rPr>
        <w:t xml:space="preserve"> </w:t>
      </w:r>
      <w:r w:rsidRPr="002E3D0D">
        <w:rPr>
          <w:rFonts w:ascii="Traditional Arabic" w:hAnsi="Traditional Arabic" w:cs="Traditional Arabic"/>
          <w:sz w:val="34"/>
          <w:szCs w:val="34"/>
          <w:rtl/>
        </w:rPr>
        <w:t>الذي يستمدّه من صميم الواقع، وأنها نتاجُ الإبداع الجماعي لأجيالٍ كثيرة</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ومعظم الأمثال والألغاز لا يُعرف قائلها ولا تاريخ منبعها"</w:t>
      </w:r>
    </w:p>
    <w:p w:rsidR="00381FE1" w:rsidRPr="002E3D0D" w:rsidRDefault="00381FE1" w:rsidP="00381FE1">
      <w:pPr>
        <w:bidi/>
        <w:jc w:val="both"/>
        <w:rPr>
          <w:rFonts w:ascii="Traditional Arabic" w:hAnsi="Traditional Arabic" w:cs="Traditional Arabic"/>
          <w:b/>
          <w:bCs/>
          <w:sz w:val="34"/>
          <w:szCs w:val="34"/>
          <w:u w:val="single"/>
        </w:rPr>
      </w:pPr>
      <w:r w:rsidRPr="002E3D0D">
        <w:rPr>
          <w:rFonts w:ascii="Traditional Arabic" w:hAnsi="Traditional Arabic" w:cs="Traditional Arabic"/>
          <w:b/>
          <w:bCs/>
          <w:sz w:val="34"/>
          <w:szCs w:val="34"/>
          <w:u w:val="single"/>
          <w:rtl/>
        </w:rPr>
        <w:t>سادسًا</w:t>
      </w:r>
      <w:r w:rsidRPr="002E3D0D">
        <w:rPr>
          <w:rFonts w:ascii="Traditional Arabic" w:hAnsi="Traditional Arabic" w:cs="Traditional Arabic" w:hint="cs"/>
          <w:b/>
          <w:bCs/>
          <w:sz w:val="34"/>
          <w:szCs w:val="34"/>
          <w:u w:val="single"/>
          <w:rtl/>
        </w:rPr>
        <w:t xml:space="preserve">/ </w:t>
      </w:r>
      <w:r w:rsidRPr="002E3D0D">
        <w:rPr>
          <w:rFonts w:ascii="Traditional Arabic" w:hAnsi="Traditional Arabic" w:cs="Traditional Arabic"/>
          <w:b/>
          <w:bCs/>
          <w:sz w:val="34"/>
          <w:szCs w:val="34"/>
          <w:u w:val="single"/>
          <w:rtl/>
        </w:rPr>
        <w:t>الهوية المغاربية في أشكال التعبير الشعبي</w:t>
      </w:r>
      <w:r w:rsidRPr="002E3D0D">
        <w:rPr>
          <w:rFonts w:ascii="Traditional Arabic" w:hAnsi="Traditional Arabic" w:cs="Traditional Arabic" w:hint="cs"/>
          <w:b/>
          <w:bCs/>
          <w:sz w:val="34"/>
          <w:szCs w:val="34"/>
          <w:u w:val="single"/>
          <w:rtl/>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يتجلى الحضور القوي للهوية المغاربية في مختلف أشكال التعبير الشعبي، من السيرة ال</w:t>
      </w:r>
      <w:r w:rsidRPr="002E3D0D">
        <w:rPr>
          <w:rFonts w:ascii="Traditional Arabic" w:hAnsi="Traditional Arabic" w:cs="Traditional Arabic" w:hint="cs"/>
          <w:sz w:val="34"/>
          <w:szCs w:val="34"/>
          <w:rtl/>
        </w:rPr>
        <w:t>هلاليّ</w:t>
      </w:r>
      <w:r w:rsidRPr="002E3D0D">
        <w:rPr>
          <w:rFonts w:ascii="Traditional Arabic" w:hAnsi="Traditional Arabic" w:cs="Traditional Arabic"/>
          <w:sz w:val="34"/>
          <w:szCs w:val="34"/>
          <w:rtl/>
        </w:rPr>
        <w:t>ة، إلى الحكايات الخرافية، والأمثال، والألغاز، والشعر الشعبي. وقد حافظت هذه الأشكال على الهوية العربية الإسلامية، وفي الوقت ذاته صانت الخصوصية المحلية ذات الجذور الأمازيغية</w:t>
      </w:r>
      <w:r w:rsidRPr="002E3D0D">
        <w:rPr>
          <w:rFonts w:ascii="Traditional Arabic" w:hAnsi="Traditional Arabic" w:cs="Traditional Arabic"/>
          <w:sz w:val="34"/>
          <w:szCs w:val="34"/>
        </w:rPr>
        <w:t>.</w:t>
      </w:r>
    </w:p>
    <w:p w:rsidR="00381FE1" w:rsidRPr="002E3D0D" w:rsidRDefault="00381FE1" w:rsidP="00381FE1">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وقد عبّر أحد الباحثين عن هذا التماثل بقوله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من هنا كان التوافق بين الألغاز والأمثال المغربية والجزائرية والتونسية كبيرًا… وكان التماثل في الموضوعات عامًا متكاملًا</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381FE1" w:rsidRPr="002E3D0D" w:rsidRDefault="00381FE1" w:rsidP="00381FE1">
      <w:pPr>
        <w:bidi/>
        <w:jc w:val="both"/>
        <w:rPr>
          <w:rFonts w:ascii="Traditional Arabic" w:hAnsi="Traditional Arabic" w:cs="Traditional Arabic"/>
          <w:sz w:val="34"/>
          <w:szCs w:val="34"/>
          <w:rtl/>
        </w:rPr>
      </w:pPr>
      <w:r w:rsidRPr="002E3D0D">
        <w:rPr>
          <w:rFonts w:ascii="Traditional Arabic" w:hAnsi="Traditional Arabic" w:cs="Traditional Arabic" w:hint="cs"/>
          <w:b/>
          <w:bCs/>
          <w:sz w:val="34"/>
          <w:szCs w:val="34"/>
          <w:rtl/>
        </w:rPr>
        <w:t xml:space="preserve">       </w:t>
      </w:r>
      <w:r w:rsidRPr="002E3D0D">
        <w:rPr>
          <w:rFonts w:ascii="Traditional Arabic" w:hAnsi="Traditional Arabic" w:cs="Traditional Arabic"/>
          <w:sz w:val="34"/>
          <w:szCs w:val="34"/>
          <w:rtl/>
        </w:rPr>
        <w:t>تكشف أشكال التعبير في الأدب الشعبي المغاربي عن ثراء ثقافي وحضاري عميق، وتؤكد وحدة الهوية المغاربية رغم تعدد اللهجات وتباعد الحدود السياسية. كما تُبرز قدرة المخيال الشعبي على استيعاب المؤثرات المختلفة، وإعادة صياغتها في قوالب فنية تحافظ على الأصالة وتستجيب لتحولات الواقع</w:t>
      </w:r>
      <w:r w:rsidRPr="002E3D0D">
        <w:rPr>
          <w:rFonts w:ascii="Traditional Arabic" w:hAnsi="Traditional Arabic" w:cs="Traditional Arabic"/>
          <w:sz w:val="34"/>
          <w:szCs w:val="34"/>
        </w:rPr>
        <w:t>.</w:t>
      </w:r>
    </w:p>
    <w:p w:rsidR="00280678" w:rsidRDefault="00280678">
      <w:pPr>
        <w:rPr>
          <w:rFonts w:hint="cs"/>
          <w:rtl/>
        </w:rPr>
      </w:pPr>
    </w:p>
    <w:sectPr w:rsidR="00280678" w:rsidSect="002806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D3F" w:rsidRDefault="000D1D3F" w:rsidP="00381FE1">
      <w:pPr>
        <w:spacing w:after="0" w:line="240" w:lineRule="auto"/>
      </w:pPr>
      <w:r>
        <w:separator/>
      </w:r>
    </w:p>
  </w:endnote>
  <w:endnote w:type="continuationSeparator" w:id="0">
    <w:p w:rsidR="000D1D3F" w:rsidRDefault="000D1D3F" w:rsidP="00381F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D3F" w:rsidRDefault="000D1D3F" w:rsidP="00381FE1">
      <w:pPr>
        <w:spacing w:after="0" w:line="240" w:lineRule="auto"/>
      </w:pPr>
      <w:r>
        <w:separator/>
      </w:r>
    </w:p>
  </w:footnote>
  <w:footnote w:type="continuationSeparator" w:id="0">
    <w:p w:rsidR="000D1D3F" w:rsidRDefault="000D1D3F" w:rsidP="00381F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81FE1"/>
    <w:rsid w:val="00037B17"/>
    <w:rsid w:val="000D1D3F"/>
    <w:rsid w:val="00280678"/>
    <w:rsid w:val="00381FE1"/>
    <w:rsid w:val="00F679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FE1"/>
    <w:pPr>
      <w:spacing w:after="200" w:line="276" w:lineRule="auto"/>
      <w:jc w:val="right"/>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796B"/>
    <w:pPr>
      <w:spacing w:after="0" w:line="240" w:lineRule="auto"/>
      <w:contextualSpacing/>
    </w:pPr>
    <w:rPr>
      <w:rFonts w:ascii="Cambria" w:eastAsia="Times New Roman" w:hAnsi="Cambria" w:cs="Times New Roman"/>
      <w:spacing w:val="-10"/>
      <w:kern w:val="28"/>
      <w:sz w:val="56"/>
      <w:szCs w:val="56"/>
      <w:lang w:eastAsia="fr-FR"/>
    </w:rPr>
  </w:style>
  <w:style w:type="character" w:customStyle="1" w:styleId="TitreCar">
    <w:name w:val="Titre Car"/>
    <w:link w:val="Titre"/>
    <w:uiPriority w:val="10"/>
    <w:rsid w:val="00F6796B"/>
    <w:rPr>
      <w:rFonts w:ascii="Cambria" w:eastAsia="Times New Roman" w:hAnsi="Cambria" w:cs="Times New Roman"/>
      <w:spacing w:val="-10"/>
      <w:kern w:val="28"/>
      <w:sz w:val="56"/>
      <w:szCs w:val="56"/>
    </w:rPr>
  </w:style>
  <w:style w:type="paragraph" w:styleId="Paragraphedeliste">
    <w:name w:val="List Paragraph"/>
    <w:basedOn w:val="Normal"/>
    <w:link w:val="ParagraphedelisteCar"/>
    <w:uiPriority w:val="34"/>
    <w:qFormat/>
    <w:rsid w:val="00F6796B"/>
    <w:pPr>
      <w:ind w:left="720"/>
      <w:contextualSpacing/>
    </w:pPr>
    <w:rPr>
      <w:rFonts w:ascii="Calibri" w:eastAsia="Calibri" w:hAnsi="Calibri" w:cs="Arial"/>
    </w:rPr>
  </w:style>
  <w:style w:type="character" w:customStyle="1" w:styleId="ParagraphedelisteCar">
    <w:name w:val="Paragraphe de liste Car"/>
    <w:basedOn w:val="Policepardfaut"/>
    <w:link w:val="Paragraphedeliste"/>
    <w:uiPriority w:val="34"/>
    <w:rsid w:val="00F6796B"/>
    <w:rPr>
      <w:sz w:val="22"/>
      <w:szCs w:val="22"/>
      <w:lang w:eastAsia="en-US"/>
    </w:rPr>
  </w:style>
  <w:style w:type="paragraph" w:customStyle="1" w:styleId="Resum">
    <w:name w:val="Resumé"/>
    <w:next w:val="Normal"/>
    <w:link w:val="ResumCar"/>
    <w:qFormat/>
    <w:rsid w:val="00F6796B"/>
    <w:pPr>
      <w:bidi/>
      <w:spacing w:before="240" w:after="120" w:line="259" w:lineRule="auto"/>
      <w:ind w:firstLine="204"/>
      <w:jc w:val="right"/>
    </w:pPr>
    <w:rPr>
      <w:rFonts w:ascii="Simplified Arabic" w:eastAsia="Times New Roman" w:hAnsi="Simplified Arabic" w:cs="Simplified Arabic"/>
      <w:b/>
      <w:bCs/>
      <w:sz w:val="24"/>
      <w:szCs w:val="24"/>
      <w:lang w:eastAsia="it-IT"/>
    </w:rPr>
  </w:style>
  <w:style w:type="character" w:customStyle="1" w:styleId="ResumCar">
    <w:name w:val="Resumé Car"/>
    <w:link w:val="Resum"/>
    <w:rsid w:val="00F6796B"/>
    <w:rPr>
      <w:rFonts w:ascii="Simplified Arabic" w:eastAsia="Times New Roman" w:hAnsi="Simplified Arabic" w:cs="Simplified Arabic"/>
      <w:b/>
      <w:bCs/>
      <w:sz w:val="24"/>
      <w:szCs w:val="24"/>
      <w:lang w:eastAsia="it-IT"/>
    </w:rPr>
  </w:style>
  <w:style w:type="paragraph" w:customStyle="1" w:styleId="titreArticle">
    <w:name w:val="titreArticle"/>
    <w:basedOn w:val="Titre"/>
    <w:link w:val="titreArticleCar"/>
    <w:qFormat/>
    <w:rsid w:val="00F6796B"/>
    <w:pPr>
      <w:framePr w:w="9231" w:hSpace="187" w:vSpace="187" w:wrap="notBeside" w:vAnchor="text" w:hAnchor="page" w:x="1419" w:y="1"/>
      <w:contextualSpacing w:val="0"/>
      <w:jc w:val="center"/>
    </w:pPr>
    <w:rPr>
      <w:rFonts w:ascii="Times New Roman" w:hAnsi="Times New Roman"/>
      <w:b/>
      <w:sz w:val="48"/>
      <w:szCs w:val="48"/>
      <w:lang w:eastAsia="it-IT"/>
    </w:rPr>
  </w:style>
  <w:style w:type="character" w:customStyle="1" w:styleId="titreArticleCar">
    <w:name w:val="titreArticle Car"/>
    <w:link w:val="titreArticle"/>
    <w:rsid w:val="00F6796B"/>
    <w:rPr>
      <w:rFonts w:ascii="Times New Roman" w:eastAsia="Times New Roman" w:hAnsi="Times New Roman" w:cs="Times New Roman"/>
      <w:b/>
      <w:spacing w:val="-10"/>
      <w:kern w:val="28"/>
      <w:sz w:val="48"/>
      <w:szCs w:val="48"/>
      <w:lang w:eastAsia="it-IT"/>
    </w:rPr>
  </w:style>
  <w:style w:type="paragraph" w:customStyle="1" w:styleId="AuteurArticle">
    <w:name w:val="AuteurArticle"/>
    <w:basedOn w:val="Normal"/>
    <w:link w:val="AuteurArticleCar"/>
    <w:qFormat/>
    <w:rsid w:val="00F6796B"/>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F6796B"/>
    <w:rPr>
      <w:rFonts w:ascii="Times New Roman" w:eastAsia="Times New Roman" w:hAnsi="Times New Roman" w:cs="Times New Roman"/>
      <w:lang w:eastAsia="it-IT"/>
    </w:rPr>
  </w:style>
  <w:style w:type="paragraph" w:customStyle="1" w:styleId="Sction">
    <w:name w:val="Séction"/>
    <w:basedOn w:val="Normal"/>
    <w:next w:val="Normal"/>
    <w:link w:val="SctionCar"/>
    <w:qFormat/>
    <w:rsid w:val="00F6796B"/>
    <w:pPr>
      <w:outlineLvl w:val="0"/>
    </w:pPr>
    <w:rPr>
      <w:rFonts w:ascii="Simplified Arabic" w:eastAsia="Calibri" w:hAnsi="Simplified Arabic" w:cs="Simplified Arabic"/>
      <w:b/>
      <w:bCs/>
      <w:caps/>
      <w:sz w:val="28"/>
      <w:szCs w:val="28"/>
      <w:lang w:eastAsia="it-IT"/>
    </w:rPr>
  </w:style>
  <w:style w:type="character" w:customStyle="1" w:styleId="SctionCar">
    <w:name w:val="Séction Car"/>
    <w:link w:val="Sction"/>
    <w:rsid w:val="00F6796B"/>
    <w:rPr>
      <w:rFonts w:ascii="Simplified Arabic" w:hAnsi="Simplified Arabic" w:cs="Simplified Arabic"/>
      <w:b/>
      <w:bCs/>
      <w:caps/>
      <w:sz w:val="28"/>
      <w:szCs w:val="28"/>
      <w:lang w:eastAsia="it-IT"/>
    </w:rPr>
  </w:style>
  <w:style w:type="paragraph" w:customStyle="1" w:styleId="TexteArticle">
    <w:name w:val="Texte Article"/>
    <w:link w:val="TexteArticleCar"/>
    <w:qFormat/>
    <w:rsid w:val="00F6796B"/>
    <w:pPr>
      <w:bidi/>
      <w:spacing w:before="240" w:after="120"/>
      <w:ind w:left="170" w:firstLine="425"/>
      <w:jc w:val="right"/>
    </w:pPr>
    <w:rPr>
      <w:rFonts w:ascii="Simplified Arabic" w:hAnsi="Simplified Arabic" w:cs="Simplified Arabic"/>
      <w:sz w:val="24"/>
      <w:szCs w:val="24"/>
      <w:lang w:eastAsia="it-IT"/>
    </w:rPr>
  </w:style>
  <w:style w:type="character" w:customStyle="1" w:styleId="TexteArticleCar">
    <w:name w:val="Texte Article Car"/>
    <w:link w:val="TexteArticle"/>
    <w:rsid w:val="00F6796B"/>
    <w:rPr>
      <w:rFonts w:ascii="Simplified Arabic" w:hAnsi="Simplified Arabic" w:cs="Simplified Arabic"/>
      <w:sz w:val="24"/>
      <w:szCs w:val="24"/>
      <w:lang w:eastAsia="it-IT"/>
    </w:rPr>
  </w:style>
  <w:style w:type="paragraph" w:customStyle="1" w:styleId="referance">
    <w:name w:val="referance"/>
    <w:basedOn w:val="Normal"/>
    <w:link w:val="referanceCar"/>
    <w:qFormat/>
    <w:rsid w:val="00F6796B"/>
    <w:pPr>
      <w:bidi/>
      <w:spacing w:after="0"/>
      <w:jc w:val="both"/>
    </w:pPr>
    <w:rPr>
      <w:rFonts w:ascii="Simplified Arabic" w:eastAsia="Calibri" w:hAnsi="Simplified Arabic" w:cs="Simplified Arabic"/>
      <w:sz w:val="24"/>
      <w:szCs w:val="24"/>
      <w:lang w:eastAsia="it-IT"/>
    </w:rPr>
  </w:style>
  <w:style w:type="character" w:customStyle="1" w:styleId="referanceCar">
    <w:name w:val="referance Car"/>
    <w:link w:val="referance"/>
    <w:rsid w:val="00F6796B"/>
    <w:rPr>
      <w:rFonts w:ascii="Simplified Arabic" w:hAnsi="Simplified Arabic" w:cs="Simplified Arabic"/>
      <w:sz w:val="24"/>
      <w:szCs w:val="24"/>
      <w:lang w:eastAsia="it-IT"/>
    </w:rPr>
  </w:style>
  <w:style w:type="paragraph" w:styleId="Notedebasdepage">
    <w:name w:val="footnote text"/>
    <w:basedOn w:val="Normal"/>
    <w:link w:val="NotedebasdepageCar"/>
    <w:uiPriority w:val="99"/>
    <w:semiHidden/>
    <w:unhideWhenUsed/>
    <w:rsid w:val="00381F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81FE1"/>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381FE1"/>
    <w:rPr>
      <w:vertAlign w:val="superscript"/>
    </w:rPr>
  </w:style>
  <w:style w:type="character" w:styleId="Lienhypertexte">
    <w:name w:val="Hyperlink"/>
    <w:basedOn w:val="Policepardfaut"/>
    <w:uiPriority w:val="99"/>
    <w:unhideWhenUsed/>
    <w:rsid w:val="00381FE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853</Words>
  <Characters>4694</Characters>
  <Application>Microsoft Office Word</Application>
  <DocSecurity>0</DocSecurity>
  <Lines>39</Lines>
  <Paragraphs>11</Paragraphs>
  <ScaleCrop>false</ScaleCrop>
  <Company>Education</Company>
  <LinksUpToDate>false</LinksUpToDate>
  <CharactersWithSpaces>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Eleve</dc:creator>
  <cp:lastModifiedBy>Eleve</cp:lastModifiedBy>
  <cp:revision>1</cp:revision>
  <dcterms:created xsi:type="dcterms:W3CDTF">2026-06-19T15:42:00Z</dcterms:created>
  <dcterms:modified xsi:type="dcterms:W3CDTF">2026-06-19T15:44:00Z</dcterms:modified>
</cp:coreProperties>
</file>