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1EE" w:rsidRPr="002E3D0D" w:rsidRDefault="009961EE" w:rsidP="009961EE">
      <w:pPr>
        <w:bidi/>
        <w:jc w:val="center"/>
        <w:rPr>
          <w:rFonts w:ascii="Traditional Arabic" w:hAnsi="Traditional Arabic" w:cs="Traditional Arabic"/>
          <w:b/>
          <w:bCs/>
          <w:sz w:val="40"/>
          <w:szCs w:val="40"/>
        </w:rPr>
      </w:pPr>
      <w:r w:rsidRPr="002E3D0D">
        <w:rPr>
          <w:rFonts w:ascii="Traditional Arabic" w:hAnsi="Traditional Arabic" w:cs="Traditional Arabic"/>
          <w:b/>
          <w:bCs/>
          <w:sz w:val="40"/>
          <w:szCs w:val="40"/>
          <w:u w:val="single"/>
          <w:rtl/>
        </w:rPr>
        <w:t xml:space="preserve">المحاضرة </w:t>
      </w:r>
      <w:r>
        <w:rPr>
          <w:rFonts w:ascii="Traditional Arabic" w:hAnsi="Traditional Arabic" w:cs="Traditional Arabic" w:hint="cs"/>
          <w:b/>
          <w:bCs/>
          <w:sz w:val="40"/>
          <w:szCs w:val="40"/>
          <w:u w:val="single"/>
          <w:rtl/>
        </w:rPr>
        <w:t>السادسة</w:t>
      </w:r>
      <w:r w:rsidRPr="002E3D0D">
        <w:rPr>
          <w:rFonts w:ascii="Traditional Arabic" w:hAnsi="Traditional Arabic" w:cs="Traditional Arabic" w:hint="cs"/>
          <w:b/>
          <w:bCs/>
          <w:sz w:val="40"/>
          <w:szCs w:val="40"/>
          <w:rtl/>
        </w:rPr>
        <w:t xml:space="preserve">: </w:t>
      </w:r>
      <w:r w:rsidRPr="002E3D0D">
        <w:rPr>
          <w:rFonts w:ascii="Traditional Arabic" w:hAnsi="Traditional Arabic" w:cs="Traditional Arabic"/>
          <w:b/>
          <w:bCs/>
          <w:sz w:val="40"/>
          <w:szCs w:val="40"/>
          <w:u w:val="single"/>
          <w:rtl/>
        </w:rPr>
        <w:t>الأغاني الشعبية ومجالاتها</w:t>
      </w:r>
    </w:p>
    <w:p w:rsidR="009961EE" w:rsidRPr="002E3D0D" w:rsidRDefault="009961EE" w:rsidP="009961EE">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تمهيد</w:t>
      </w:r>
      <w:r w:rsidRPr="002E3D0D">
        <w:rPr>
          <w:rFonts w:ascii="Traditional Arabic" w:hAnsi="Traditional Arabic" w:cs="Traditional Arabic" w:hint="cs"/>
          <w:b/>
          <w:bCs/>
          <w:sz w:val="34"/>
          <w:szCs w:val="34"/>
          <w:u w:val="single"/>
          <w:rtl/>
        </w:rPr>
        <w:t>:</w:t>
      </w:r>
    </w:p>
    <w:p w:rsidR="009961EE" w:rsidRPr="002E3D0D" w:rsidRDefault="009961EE" w:rsidP="009961EE">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تُعدّ الأغنية الشعبية من أكثر أشكال التعبير الأدبي التصاقًا بالحياة اليومية للجماعة الشعبية، لما تجمعه من تفاعل عضوي بين الكلمة واللحن والإيقاع والحركة. وهي لا تمثل مجرد وسيلة للترفيه، بل تُعدّ وثيقة ثقافية واجتماعية تعبّر عن وجدان الجماعة، وتحفظ ذاكرتها، وتنقل منظومتها القيمية عبر الأجيال.</w:t>
      </w:r>
    </w:p>
    <w:p w:rsidR="009961EE" w:rsidRPr="002E3D0D" w:rsidRDefault="009961EE" w:rsidP="009961EE">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 ومن هنا، اكتسبت الأغنية الشعبية مكانة مركزية في الدراسات الفولكلورية، بوصفها مرآة صادقة للواقع الاجتماعي والنفسي والثقافي</w:t>
      </w:r>
      <w:r w:rsidRPr="002E3D0D">
        <w:rPr>
          <w:rFonts w:ascii="Traditional Arabic" w:hAnsi="Traditional Arabic" w:cs="Traditional Arabic"/>
          <w:sz w:val="34"/>
          <w:szCs w:val="34"/>
        </w:rPr>
        <w:t>.</w:t>
      </w:r>
    </w:p>
    <w:p w:rsidR="009961EE" w:rsidRPr="002E3D0D" w:rsidRDefault="009961EE" w:rsidP="009961EE">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أولًا</w:t>
      </w:r>
      <w:r w:rsidRPr="002E3D0D">
        <w:rPr>
          <w:rFonts w:ascii="Traditional Arabic" w:hAnsi="Traditional Arabic" w:cs="Traditional Arabic" w:hint="cs"/>
          <w:b/>
          <w:bCs/>
          <w:sz w:val="34"/>
          <w:szCs w:val="34"/>
          <w:u w:val="single"/>
          <w:rtl/>
        </w:rPr>
        <w:t xml:space="preserve">/ </w:t>
      </w:r>
      <w:r w:rsidRPr="002E3D0D">
        <w:rPr>
          <w:rFonts w:ascii="Traditional Arabic" w:hAnsi="Traditional Arabic" w:cs="Traditional Arabic"/>
          <w:b/>
          <w:bCs/>
          <w:sz w:val="34"/>
          <w:szCs w:val="34"/>
          <w:u w:val="single"/>
          <w:rtl/>
        </w:rPr>
        <w:t>تعريف الأغنية الشعبية</w:t>
      </w:r>
      <w:r w:rsidRPr="002E3D0D">
        <w:rPr>
          <w:rFonts w:ascii="Traditional Arabic" w:hAnsi="Traditional Arabic" w:cs="Traditional Arabic" w:hint="cs"/>
          <w:b/>
          <w:bCs/>
          <w:sz w:val="34"/>
          <w:szCs w:val="34"/>
          <w:u w:val="single"/>
          <w:rtl/>
        </w:rPr>
        <w:t>:</w:t>
      </w:r>
    </w:p>
    <w:p w:rsidR="009961EE" w:rsidRPr="002E3D0D" w:rsidRDefault="009961EE" w:rsidP="009961EE">
      <w:p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تُعرّف الأغنية الشعبية بأنها</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tl/>
        </w:rPr>
        <w:t>الشعر الشعبي والموسيقى المصاحبة له، اللذان ترددهما الجماعات التي ينتشر أدبها بالرواية الشفوية لا بواسطة التدوين والطباعة.. والأغنية الشعبية كغيرها من الأنواع الفنية التي تتوسل بالكلمة في الأغلب الأعم، إنما تعيش وتنتقل بين الأفراد والبيئات والأجيال بواسطة الرواية الشفوية، وقد لاحظ الدارسون أن المغنين الذين يرددون الأغاني الشعبية لا يعتمدون على التدوين، حتى ولو كانوا على حظ من القراءة والكتابة، فالأغاني الشعبية تعلم وتدرب بعض الأفراد على أدائها بطرق السماع</w:t>
      </w:r>
      <w:r w:rsidRPr="002E3D0D">
        <w:rPr>
          <w:rFonts w:ascii="Traditional Arabic" w:hAnsi="Traditional Arabic" w:cs="Traditional Arabic" w:hint="cs"/>
          <w:sz w:val="34"/>
          <w:szCs w:val="34"/>
          <w:rtl/>
        </w:rPr>
        <w:t>"</w:t>
      </w:r>
    </w:p>
    <w:p w:rsidR="009961EE" w:rsidRPr="002E3D0D" w:rsidRDefault="009961EE" w:rsidP="009961EE">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كما تُعرّف كذلك بأنها</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Pr>
        <w:t xml:space="preserve"> </w:t>
      </w:r>
      <w:r w:rsidRPr="002E3D0D">
        <w:rPr>
          <w:rFonts w:ascii="Traditional Arabic" w:hAnsi="Traditional Arabic" w:cs="Traditional Arabic"/>
          <w:sz w:val="34"/>
          <w:szCs w:val="34"/>
          <w:rtl/>
        </w:rPr>
        <w:t>ركن من أركان الفولكلور، وهي قصيدة شعرية ملحنة، تعتمد موسيقاها على السماع وليس على نوتة موسيقية مكتوبة، وهي سهلة النشأة وترتبط بالشعب وتنشر وتشيع بين الأميين والعامة من الناس من ساكني الأحياء الشعبية في المدن وكذلك العمال في أزمنة ماضية وبقيت متداولة أزمنة طويلة</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w:t>
      </w:r>
    </w:p>
    <w:p w:rsidR="009961EE" w:rsidRPr="002E3D0D" w:rsidRDefault="009961EE" w:rsidP="009961EE">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يبرز من خلال هذين التعريفين أن الأغنية الشعبية تقوم على ثلاثة مرتكزات أساسية</w:t>
      </w:r>
      <w:r w:rsidRPr="002E3D0D">
        <w:rPr>
          <w:rFonts w:ascii="Traditional Arabic" w:hAnsi="Traditional Arabic" w:cs="Traditional Arabic"/>
          <w:sz w:val="34"/>
          <w:szCs w:val="34"/>
        </w:rPr>
        <w:t xml:space="preserve">: </w:t>
      </w:r>
      <w:r w:rsidRPr="002E3D0D">
        <w:rPr>
          <w:rFonts w:ascii="Traditional Arabic" w:hAnsi="Traditional Arabic" w:cs="Traditional Arabic"/>
          <w:sz w:val="34"/>
          <w:szCs w:val="34"/>
          <w:rtl/>
        </w:rPr>
        <w:t>الشفاهية، والالتحام بين الشعر والموسيقى، والوظيفة الجماعية، وهو ما يميزها عن الأغنية الفنية الحديثة المرتبطة بالمؤلف الفردي والتدوين الموسيقي</w:t>
      </w:r>
      <w:r w:rsidRPr="002E3D0D">
        <w:rPr>
          <w:rFonts w:ascii="Traditional Arabic" w:hAnsi="Traditional Arabic" w:cs="Traditional Arabic"/>
          <w:sz w:val="34"/>
          <w:szCs w:val="34"/>
        </w:rPr>
        <w:t>.</w:t>
      </w:r>
    </w:p>
    <w:p w:rsidR="009961EE" w:rsidRPr="002E3D0D" w:rsidRDefault="009961EE" w:rsidP="009961EE">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ثانيًا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سمات الأغنية الشعبية</w:t>
      </w:r>
      <w:r w:rsidRPr="002E3D0D">
        <w:rPr>
          <w:rFonts w:ascii="Traditional Arabic" w:hAnsi="Traditional Arabic" w:cs="Traditional Arabic" w:hint="cs"/>
          <w:b/>
          <w:bCs/>
          <w:sz w:val="34"/>
          <w:szCs w:val="34"/>
          <w:u w:val="single"/>
          <w:rtl/>
        </w:rPr>
        <w:t>:</w:t>
      </w:r>
    </w:p>
    <w:p w:rsidR="009961EE" w:rsidRPr="002E3D0D" w:rsidRDefault="009961EE" w:rsidP="009961EE">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lastRenderedPageBreak/>
        <w:t xml:space="preserve">1/ </w:t>
      </w:r>
      <w:r w:rsidRPr="002E3D0D">
        <w:rPr>
          <w:rFonts w:ascii="Traditional Arabic" w:hAnsi="Traditional Arabic" w:cs="Traditional Arabic"/>
          <w:b/>
          <w:bCs/>
          <w:sz w:val="34"/>
          <w:szCs w:val="34"/>
          <w:u w:val="single"/>
          <w:rtl/>
        </w:rPr>
        <w:t>الرواية الشفوية والانتشار</w:t>
      </w:r>
      <w:r w:rsidRPr="002E3D0D">
        <w:rPr>
          <w:rFonts w:ascii="Traditional Arabic" w:hAnsi="Traditional Arabic" w:cs="Traditional Arabic" w:hint="cs"/>
          <w:b/>
          <w:bCs/>
          <w:sz w:val="34"/>
          <w:szCs w:val="34"/>
          <w:u w:val="single"/>
          <w:rtl/>
        </w:rPr>
        <w:t>:</w:t>
      </w:r>
    </w:p>
    <w:p w:rsidR="009961EE" w:rsidRPr="002E3D0D" w:rsidRDefault="009961EE" w:rsidP="009961EE">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تُعدّ المشافهة الأساس الذي تقوم عليه الأغنية الشعبية، حيث</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tl/>
        </w:rPr>
        <w:t>فإن الفيصل في تمييز الأغنية الشعبية انتشارها عن طريق الرواية الشفوية، كل فرد في الجماعة التي تتذوقها يسهم في حفظها ونشرها وكثيرًا ما يشترك أهل القرية جميعًا على علم بأغانيهم الشعبية</w:t>
      </w:r>
      <w:r w:rsidRPr="002E3D0D">
        <w:rPr>
          <w:rFonts w:ascii="Traditional Arabic" w:hAnsi="Traditional Arabic" w:cs="Traditional Arabic" w:hint="cs"/>
          <w:sz w:val="34"/>
          <w:szCs w:val="34"/>
          <w:rtl/>
        </w:rPr>
        <w:t>".</w:t>
      </w:r>
    </w:p>
    <w:p w:rsidR="009961EE" w:rsidRPr="002E3D0D" w:rsidRDefault="009961EE" w:rsidP="009961EE">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وتُفسّر هذه الخاصية قدرة الأغنية الشعبية على الانتشار الواسع، واستمرارها زمنًا طويلًا رغم غياب التدوين</w:t>
      </w:r>
      <w:r w:rsidRPr="002E3D0D">
        <w:rPr>
          <w:rFonts w:ascii="Traditional Arabic" w:hAnsi="Traditional Arabic" w:cs="Traditional Arabic"/>
          <w:sz w:val="34"/>
          <w:szCs w:val="34"/>
        </w:rPr>
        <w:t>.</w:t>
      </w:r>
    </w:p>
    <w:p w:rsidR="009961EE" w:rsidRPr="002E3D0D" w:rsidRDefault="009961EE" w:rsidP="009961EE">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 xml:space="preserve">2/ </w:t>
      </w:r>
      <w:r w:rsidRPr="002E3D0D">
        <w:rPr>
          <w:rFonts w:ascii="Traditional Arabic" w:hAnsi="Traditional Arabic" w:cs="Traditional Arabic"/>
          <w:b/>
          <w:bCs/>
          <w:sz w:val="34"/>
          <w:szCs w:val="34"/>
          <w:u w:val="single"/>
          <w:rtl/>
        </w:rPr>
        <w:t>الحفظ وقوة الذاكرة</w:t>
      </w:r>
      <w:r w:rsidRPr="002E3D0D">
        <w:rPr>
          <w:rFonts w:ascii="Traditional Arabic" w:hAnsi="Traditional Arabic" w:cs="Traditional Arabic" w:hint="cs"/>
          <w:b/>
          <w:bCs/>
          <w:sz w:val="34"/>
          <w:szCs w:val="34"/>
          <w:u w:val="single"/>
          <w:rtl/>
        </w:rPr>
        <w:t>:</w:t>
      </w:r>
    </w:p>
    <w:p w:rsidR="009961EE" w:rsidRPr="002E3D0D" w:rsidRDefault="009961EE" w:rsidP="009961EE">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تعتمد الأغنية الشعبية اعتمادًا كبيرًا على الذاكرة، إذ</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tl/>
        </w:rPr>
        <w:t>فإن الذاكرة الواعية القادرة على حفظ اللحن والكلمة تعد مزية أعظم من حسن الصوت في كثير من الظروف وعند كثير من الشعوب.. فالحافظة الجيدة لها مكان الصدارة بين المؤهلات الواجب توافرها في المغني الشعبي</w:t>
      </w:r>
      <w:r w:rsidRPr="002E3D0D">
        <w:rPr>
          <w:rFonts w:ascii="Traditional Arabic" w:hAnsi="Traditional Arabic" w:cs="Traditional Arabic" w:hint="cs"/>
          <w:sz w:val="34"/>
          <w:szCs w:val="34"/>
          <w:rtl/>
        </w:rPr>
        <w:t>"</w:t>
      </w:r>
    </w:p>
    <w:p w:rsidR="009961EE" w:rsidRPr="002E3D0D" w:rsidRDefault="009961EE" w:rsidP="009961EE">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يؤكد هذا الطرح أن قيمة المغني الشعبي لا تُقاس بجمال صوته فحسب، بل بقدرته على حفظ النصوص والألحان وصونها من الضياع</w:t>
      </w:r>
      <w:r w:rsidRPr="002E3D0D">
        <w:rPr>
          <w:rFonts w:ascii="Traditional Arabic" w:hAnsi="Traditional Arabic" w:cs="Traditional Arabic"/>
          <w:sz w:val="34"/>
          <w:szCs w:val="34"/>
        </w:rPr>
        <w:t>.</w:t>
      </w:r>
    </w:p>
    <w:p w:rsidR="009961EE" w:rsidRPr="002E3D0D" w:rsidRDefault="009961EE" w:rsidP="009961EE">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 xml:space="preserve">3/ </w:t>
      </w:r>
      <w:r w:rsidRPr="002E3D0D">
        <w:rPr>
          <w:rFonts w:ascii="Traditional Arabic" w:hAnsi="Traditional Arabic" w:cs="Traditional Arabic"/>
          <w:b/>
          <w:bCs/>
          <w:sz w:val="34"/>
          <w:szCs w:val="34"/>
          <w:u w:val="single"/>
          <w:rtl/>
        </w:rPr>
        <w:t>التماثل الشعبي</w:t>
      </w:r>
      <w:r w:rsidRPr="002E3D0D">
        <w:rPr>
          <w:rFonts w:ascii="Traditional Arabic" w:hAnsi="Traditional Arabic" w:cs="Traditional Arabic" w:hint="cs"/>
          <w:b/>
          <w:bCs/>
          <w:sz w:val="34"/>
          <w:szCs w:val="34"/>
          <w:u w:val="single"/>
          <w:rtl/>
        </w:rPr>
        <w:t>:</w:t>
      </w:r>
    </w:p>
    <w:p w:rsidR="009961EE" w:rsidRPr="002E3D0D" w:rsidRDefault="009961EE" w:rsidP="009961EE">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لاحظ الدارسون وجود تشابه ملحوظ في الألحان والصور الشعرية بين أغاني الشعوب المختلفة، خاصة في</w:t>
      </w:r>
      <w:r w:rsidRPr="002E3D0D">
        <w:rPr>
          <w:rFonts w:ascii="Traditional Arabic" w:hAnsi="Traditional Arabic" w:cs="Traditional Arabic"/>
          <w:sz w:val="34"/>
          <w:szCs w:val="34"/>
        </w:rPr>
        <w:t>:</w:t>
      </w:r>
    </w:p>
    <w:p w:rsidR="009961EE" w:rsidRPr="002E3D0D" w:rsidRDefault="009961EE" w:rsidP="009961EE">
      <w:pPr>
        <w:numPr>
          <w:ilvl w:val="0"/>
          <w:numId w:val="1"/>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أغاني الأطفال</w:t>
      </w:r>
    </w:p>
    <w:p w:rsidR="009961EE" w:rsidRPr="002E3D0D" w:rsidRDefault="009961EE" w:rsidP="009961EE">
      <w:pPr>
        <w:numPr>
          <w:ilvl w:val="0"/>
          <w:numId w:val="1"/>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أغاني الحب</w:t>
      </w:r>
    </w:p>
    <w:p w:rsidR="009961EE" w:rsidRPr="002E3D0D" w:rsidRDefault="009961EE" w:rsidP="009961EE">
      <w:pPr>
        <w:numPr>
          <w:ilvl w:val="0"/>
          <w:numId w:val="1"/>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أغاني العمل</w:t>
      </w:r>
    </w:p>
    <w:p w:rsidR="009961EE" w:rsidRPr="002E3D0D" w:rsidRDefault="009961EE" w:rsidP="009961EE">
      <w:pPr>
        <w:numPr>
          <w:ilvl w:val="0"/>
          <w:numId w:val="1"/>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أغاني المناسبات</w:t>
      </w:r>
    </w:p>
    <w:p w:rsidR="009961EE" w:rsidRPr="002E3D0D" w:rsidRDefault="009961EE" w:rsidP="009961EE">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lastRenderedPageBreak/>
        <w:t xml:space="preserve">       </w:t>
      </w:r>
      <w:r w:rsidRPr="002E3D0D">
        <w:rPr>
          <w:rFonts w:ascii="Traditional Arabic" w:hAnsi="Traditional Arabic" w:cs="Traditional Arabic"/>
          <w:sz w:val="34"/>
          <w:szCs w:val="34"/>
          <w:rtl/>
        </w:rPr>
        <w:t>ويُعزى هذا التماثل إلى وحدة التجربة الإنسانية، رغم اختلاف البيئات والثقافات</w:t>
      </w:r>
      <w:r w:rsidRPr="002E3D0D">
        <w:rPr>
          <w:rFonts w:ascii="Traditional Arabic" w:hAnsi="Traditional Arabic" w:cs="Traditional Arabic"/>
          <w:sz w:val="34"/>
          <w:szCs w:val="34"/>
        </w:rPr>
        <w:t>.</w:t>
      </w:r>
    </w:p>
    <w:p w:rsidR="009961EE" w:rsidRPr="002E3D0D" w:rsidRDefault="009961EE" w:rsidP="009961EE">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ثالثًا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نشأة الأغنية الشعبية</w:t>
      </w:r>
      <w:r w:rsidRPr="002E3D0D">
        <w:rPr>
          <w:rFonts w:ascii="Traditional Arabic" w:hAnsi="Traditional Arabic" w:cs="Traditional Arabic" w:hint="cs"/>
          <w:b/>
          <w:bCs/>
          <w:sz w:val="34"/>
          <w:szCs w:val="34"/>
          <w:u w:val="single"/>
          <w:rtl/>
        </w:rPr>
        <w:t>:</w:t>
      </w:r>
    </w:p>
    <w:p w:rsidR="009961EE" w:rsidRPr="002E3D0D" w:rsidRDefault="009961EE" w:rsidP="009961EE">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نشأت الأغنية الشعبية في ارتباط وثيق بالرقص والطقوس، وقد جاء في ذلك</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Pr>
        <w:t xml:space="preserve"> </w:t>
      </w:r>
      <w:r w:rsidRPr="002E3D0D">
        <w:rPr>
          <w:rFonts w:ascii="Traditional Arabic" w:hAnsi="Traditional Arabic" w:cs="Traditional Arabic"/>
          <w:sz w:val="34"/>
          <w:szCs w:val="34"/>
          <w:rtl/>
        </w:rPr>
        <w:t>الأغنية الشعبية من الفنون التي تطورت مع تطور الرقص والطقوس، والتي ارتبطت منذ البداية بعالم العقائد والطقوس، والتي خدمت بالدرجة الأولى إشباع الحاجات الاجتماعية والنفسية والروحية.. ولا تتوقف على الموضوعات الروحية فحسب بل تمتد إلى الموضوعات الدنيوية والمحرمة</w:t>
      </w:r>
      <w:r w:rsidRPr="002E3D0D">
        <w:rPr>
          <w:rFonts w:ascii="Traditional Arabic" w:hAnsi="Traditional Arabic" w:cs="Traditional Arabic"/>
          <w:sz w:val="34"/>
          <w:szCs w:val="34"/>
        </w:rPr>
        <w:t xml:space="preserve">. </w:t>
      </w:r>
      <w:r w:rsidRPr="002E3D0D">
        <w:rPr>
          <w:rFonts w:ascii="Traditional Arabic" w:hAnsi="Traditional Arabic" w:cs="Traditional Arabic" w:hint="cs"/>
          <w:sz w:val="34"/>
          <w:szCs w:val="34"/>
          <w:rtl/>
        </w:rPr>
        <w:t>"</w:t>
      </w:r>
    </w:p>
    <w:p w:rsidR="009961EE" w:rsidRPr="002E3D0D" w:rsidRDefault="009961EE" w:rsidP="009961EE">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كما أنها نشأت متداخلة مع الشعر الشعبي، إذ</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tl/>
        </w:rPr>
        <w:t>أما الشعر الشعبي فهو متداخل مع الأغنية الشعبية، فكثير من الأشعار الشعبية تردد على الألسنة دون لحن</w:t>
      </w:r>
      <w:r w:rsidRPr="002E3D0D">
        <w:rPr>
          <w:rFonts w:ascii="Traditional Arabic" w:hAnsi="Traditional Arabic" w:cs="Traditional Arabic" w:hint="cs"/>
          <w:sz w:val="34"/>
          <w:szCs w:val="34"/>
          <w:rtl/>
        </w:rPr>
        <w:t>"</w:t>
      </w:r>
    </w:p>
    <w:p w:rsidR="009961EE" w:rsidRPr="002E3D0D" w:rsidRDefault="009961EE" w:rsidP="009961EE">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يكشف هذا التداخل عن الأصل المشترك بين الشعر والغناء في الثقافة الشعبية، حيث سبق الإيقاعُ اللفظَ، وكان الصوت أسبق من الكتابة</w:t>
      </w:r>
      <w:r w:rsidRPr="002E3D0D">
        <w:rPr>
          <w:rFonts w:ascii="Traditional Arabic" w:hAnsi="Traditional Arabic" w:cs="Traditional Arabic"/>
          <w:sz w:val="34"/>
          <w:szCs w:val="34"/>
        </w:rPr>
        <w:t>.</w:t>
      </w:r>
    </w:p>
    <w:p w:rsidR="009961EE" w:rsidRPr="002E3D0D" w:rsidRDefault="009961EE" w:rsidP="009961EE">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رابعًا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تصنيفات الأغنية الشعبية</w:t>
      </w:r>
      <w:r w:rsidRPr="002E3D0D">
        <w:rPr>
          <w:rFonts w:ascii="Traditional Arabic" w:hAnsi="Traditional Arabic" w:cs="Traditional Arabic" w:hint="cs"/>
          <w:b/>
          <w:bCs/>
          <w:sz w:val="34"/>
          <w:szCs w:val="34"/>
          <w:u w:val="single"/>
          <w:rtl/>
        </w:rPr>
        <w:t>:</w:t>
      </w:r>
    </w:p>
    <w:p w:rsidR="009961EE" w:rsidRPr="002E3D0D" w:rsidRDefault="009961EE" w:rsidP="009961EE">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 xml:space="preserve">1/ </w:t>
      </w:r>
      <w:r w:rsidRPr="002E3D0D">
        <w:rPr>
          <w:rFonts w:ascii="Traditional Arabic" w:hAnsi="Traditional Arabic" w:cs="Traditional Arabic"/>
          <w:b/>
          <w:bCs/>
          <w:sz w:val="34"/>
          <w:szCs w:val="34"/>
          <w:u w:val="single"/>
          <w:rtl/>
        </w:rPr>
        <w:t>حسب المناسبات المرتبطة بدورة الحياة</w:t>
      </w:r>
      <w:r w:rsidRPr="002E3D0D">
        <w:rPr>
          <w:rFonts w:ascii="Traditional Arabic" w:hAnsi="Traditional Arabic" w:cs="Traditional Arabic" w:hint="cs"/>
          <w:b/>
          <w:bCs/>
          <w:sz w:val="34"/>
          <w:szCs w:val="34"/>
          <w:u w:val="single"/>
          <w:rtl/>
        </w:rPr>
        <w:t>:</w:t>
      </w:r>
    </w:p>
    <w:p w:rsidR="009961EE" w:rsidRPr="002E3D0D" w:rsidRDefault="009961EE" w:rsidP="009961EE">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تشمل</w:t>
      </w:r>
      <w:r w:rsidRPr="002E3D0D">
        <w:rPr>
          <w:rFonts w:ascii="Traditional Arabic" w:hAnsi="Traditional Arabic" w:cs="Traditional Arabic"/>
          <w:sz w:val="34"/>
          <w:szCs w:val="34"/>
        </w:rPr>
        <w:t>:</w:t>
      </w:r>
    </w:p>
    <w:p w:rsidR="009961EE" w:rsidRPr="002E3D0D" w:rsidRDefault="009961EE" w:rsidP="009961EE">
      <w:pPr>
        <w:numPr>
          <w:ilvl w:val="0"/>
          <w:numId w:val="2"/>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أغاني الميلاد والختان</w:t>
      </w:r>
    </w:p>
    <w:p w:rsidR="009961EE" w:rsidRPr="002E3D0D" w:rsidRDefault="009961EE" w:rsidP="009961EE">
      <w:pPr>
        <w:numPr>
          <w:ilvl w:val="0"/>
          <w:numId w:val="2"/>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أغاني الخطوبة والزفاف والزواج</w:t>
      </w:r>
    </w:p>
    <w:p w:rsidR="009961EE" w:rsidRPr="002E3D0D" w:rsidRDefault="009961EE" w:rsidP="009961EE">
      <w:pPr>
        <w:numPr>
          <w:ilvl w:val="0"/>
          <w:numId w:val="2"/>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البكائيات</w:t>
      </w:r>
    </w:p>
    <w:p w:rsidR="009961EE" w:rsidRPr="002E3D0D" w:rsidRDefault="009961EE" w:rsidP="009961EE">
      <w:pPr>
        <w:numPr>
          <w:ilvl w:val="0"/>
          <w:numId w:val="2"/>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أغاني المناسبات الدينية (المولد، مولد النبي</w:t>
      </w:r>
      <w:r w:rsidRPr="002E3D0D">
        <w:rPr>
          <w:rFonts w:ascii="Traditional Arabic" w:hAnsi="Traditional Arabic" w:cs="Traditional Arabic" w:hint="cs"/>
          <w:sz w:val="34"/>
          <w:szCs w:val="34"/>
          <w:rtl/>
        </w:rPr>
        <w:t>)</w:t>
      </w:r>
    </w:p>
    <w:p w:rsidR="009961EE" w:rsidRPr="002E3D0D" w:rsidRDefault="009961EE" w:rsidP="009961EE">
      <w:pPr>
        <w:numPr>
          <w:ilvl w:val="0"/>
          <w:numId w:val="2"/>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أغاني الحج (الذهاب والعودة</w:t>
      </w:r>
      <w:r w:rsidRPr="002E3D0D">
        <w:rPr>
          <w:rFonts w:ascii="Traditional Arabic" w:hAnsi="Traditional Arabic" w:cs="Traditional Arabic" w:hint="cs"/>
          <w:sz w:val="34"/>
          <w:szCs w:val="34"/>
          <w:rtl/>
        </w:rPr>
        <w:t>)</w:t>
      </w:r>
    </w:p>
    <w:p w:rsidR="009961EE" w:rsidRPr="002E3D0D" w:rsidRDefault="009961EE" w:rsidP="009961EE">
      <w:pPr>
        <w:numPr>
          <w:ilvl w:val="0"/>
          <w:numId w:val="2"/>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أغاني العمل</w:t>
      </w:r>
    </w:p>
    <w:p w:rsidR="009961EE" w:rsidRPr="002E3D0D" w:rsidRDefault="009961EE" w:rsidP="009961EE">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lastRenderedPageBreak/>
        <w:t xml:space="preserve">2/ </w:t>
      </w:r>
      <w:r w:rsidRPr="002E3D0D">
        <w:rPr>
          <w:rFonts w:ascii="Traditional Arabic" w:hAnsi="Traditional Arabic" w:cs="Traditional Arabic"/>
          <w:b/>
          <w:bCs/>
          <w:sz w:val="34"/>
          <w:szCs w:val="34"/>
          <w:u w:val="single"/>
          <w:rtl/>
        </w:rPr>
        <w:t>حسب البيئات والجماعات البشرية</w:t>
      </w:r>
      <w:r w:rsidRPr="002E3D0D">
        <w:rPr>
          <w:rFonts w:ascii="Traditional Arabic" w:hAnsi="Traditional Arabic" w:cs="Traditional Arabic" w:hint="cs"/>
          <w:b/>
          <w:bCs/>
          <w:sz w:val="34"/>
          <w:szCs w:val="34"/>
          <w:u w:val="single"/>
          <w:rtl/>
        </w:rPr>
        <w:t>:</w:t>
      </w:r>
    </w:p>
    <w:p w:rsidR="009961EE" w:rsidRPr="002E3D0D" w:rsidRDefault="009961EE" w:rsidP="009961EE">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ومنها</w:t>
      </w:r>
      <w:r w:rsidRPr="002E3D0D">
        <w:rPr>
          <w:rFonts w:ascii="Traditional Arabic" w:hAnsi="Traditional Arabic" w:cs="Traditional Arabic"/>
          <w:sz w:val="34"/>
          <w:szCs w:val="34"/>
        </w:rPr>
        <w:t>:</w:t>
      </w:r>
    </w:p>
    <w:p w:rsidR="009961EE" w:rsidRPr="002E3D0D" w:rsidRDefault="009961EE" w:rsidP="009961EE">
      <w:pPr>
        <w:numPr>
          <w:ilvl w:val="0"/>
          <w:numId w:val="3"/>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 xml:space="preserve">أغاني البدو: المجرودة، الغنيوة، الشتيوة، </w:t>
      </w:r>
      <w:r w:rsidRPr="002E3D0D">
        <w:rPr>
          <w:rFonts w:ascii="Traditional Arabic" w:hAnsi="Traditional Arabic" w:cs="Traditional Arabic" w:hint="cs"/>
          <w:sz w:val="34"/>
          <w:szCs w:val="34"/>
          <w:rtl/>
        </w:rPr>
        <w:t>مجرو</w:t>
      </w:r>
      <w:r w:rsidRPr="002E3D0D">
        <w:rPr>
          <w:rFonts w:ascii="Traditional Arabic" w:hAnsi="Traditional Arabic" w:cs="Traditional Arabic"/>
          <w:sz w:val="34"/>
          <w:szCs w:val="34"/>
          <w:rtl/>
        </w:rPr>
        <w:t>دة العصا</w:t>
      </w:r>
      <w:r w:rsidRPr="002E3D0D">
        <w:rPr>
          <w:rFonts w:ascii="Traditional Arabic" w:hAnsi="Traditional Arabic" w:cs="Traditional Arabic"/>
          <w:sz w:val="34"/>
          <w:szCs w:val="34"/>
        </w:rPr>
        <w:t>…</w:t>
      </w:r>
    </w:p>
    <w:p w:rsidR="009961EE" w:rsidRPr="002E3D0D" w:rsidRDefault="009961EE" w:rsidP="009961EE">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تتسم التصنيفات المشرقية بطابع محلي لا ينسجم دائمًا مع البيئة المغاربية، وهو ما جعل تقسيم نبيلة إبراهيم أكثر شمولًا لاعتماده على الوظيفة بدل التسمية المحلية، إذ تقول</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tl/>
        </w:rPr>
        <w:t>يمكننا أن نقسم الأغنية الشعبية وفقًا للوظيفة التي تؤديها إلى ثلاثة أقسام</w:t>
      </w:r>
      <w:r w:rsidRPr="002E3D0D">
        <w:rPr>
          <w:rFonts w:ascii="Traditional Arabic" w:hAnsi="Traditional Arabic" w:cs="Traditional Arabic" w:hint="cs"/>
          <w:sz w:val="34"/>
          <w:szCs w:val="34"/>
          <w:rtl/>
        </w:rPr>
        <w:t>:</w:t>
      </w:r>
    </w:p>
    <w:p w:rsidR="009961EE" w:rsidRPr="002E3D0D" w:rsidRDefault="009961EE" w:rsidP="009961EE">
      <w:pPr>
        <w:bidi/>
        <w:jc w:val="both"/>
        <w:rPr>
          <w:rFonts w:ascii="Traditional Arabic" w:hAnsi="Traditional Arabic" w:cs="Traditional Arabic"/>
          <w:b/>
          <w:bCs/>
          <w:sz w:val="34"/>
          <w:szCs w:val="34"/>
          <w:u w:val="single"/>
          <w:rtl/>
        </w:rPr>
      </w:pPr>
      <w:r w:rsidRPr="002E3D0D">
        <w:rPr>
          <w:rFonts w:ascii="Traditional Arabic" w:hAnsi="Traditional Arabic" w:cs="Traditional Arabic"/>
          <w:b/>
          <w:bCs/>
          <w:sz w:val="34"/>
          <w:szCs w:val="34"/>
          <w:u w:val="single"/>
          <w:rtl/>
        </w:rPr>
        <w:t>أغاني المناسبات الاجتماعية</w:t>
      </w:r>
      <w:r w:rsidRPr="002E3D0D">
        <w:rPr>
          <w:rFonts w:ascii="Traditional Arabic" w:hAnsi="Traditional Arabic" w:cs="Traditional Arabic" w:hint="cs"/>
          <w:b/>
          <w:bCs/>
          <w:sz w:val="34"/>
          <w:szCs w:val="34"/>
          <w:u w:val="single"/>
          <w:rtl/>
        </w:rPr>
        <w:t>:</w:t>
      </w:r>
    </w:p>
    <w:p w:rsidR="009961EE" w:rsidRPr="002E3D0D" w:rsidRDefault="009961EE" w:rsidP="009961EE">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إذا بدأنا بأغنيات المناسبات الاجتماعية لنتحدث عن وظيفتها، فإن أول ما يتبادر إلى الذهن أن الأغاني التي يُتغنّى بها في كل مناسبة اجتماعية يحتفل بها الشعب، مثل الزواج أو الختان أو سبوع الطفل أو الحج أو موالد الأولياء، لا بد أن تخدم مناسبتها</w:t>
      </w:r>
      <w:r>
        <w:rPr>
          <w:rFonts w:ascii="Traditional Arabic" w:hAnsi="Traditional Arabic" w:cs="Traditional Arabic" w:hint="cs"/>
          <w:sz w:val="34"/>
          <w:szCs w:val="34"/>
          <w:rtl/>
        </w:rPr>
        <w:t>.</w:t>
      </w:r>
    </w:p>
    <w:p w:rsidR="009961EE" w:rsidRPr="002E3D0D" w:rsidRDefault="009961EE" w:rsidP="009961EE">
      <w:pPr>
        <w:bidi/>
        <w:jc w:val="both"/>
        <w:rPr>
          <w:rFonts w:ascii="Traditional Arabic" w:hAnsi="Traditional Arabic" w:cs="Traditional Arabic"/>
          <w:b/>
          <w:bCs/>
          <w:sz w:val="34"/>
          <w:szCs w:val="34"/>
          <w:u w:val="single"/>
          <w:rtl/>
        </w:rPr>
      </w:pPr>
      <w:r w:rsidRPr="002E3D0D">
        <w:rPr>
          <w:rFonts w:ascii="Traditional Arabic" w:hAnsi="Traditional Arabic" w:cs="Traditional Arabic"/>
          <w:b/>
          <w:bCs/>
          <w:sz w:val="34"/>
          <w:szCs w:val="34"/>
          <w:u w:val="single"/>
          <w:rtl/>
        </w:rPr>
        <w:t>أغاني العمل</w:t>
      </w:r>
      <w:r w:rsidRPr="002E3D0D">
        <w:rPr>
          <w:rFonts w:ascii="Traditional Arabic" w:hAnsi="Traditional Arabic" w:cs="Traditional Arabic" w:hint="cs"/>
          <w:b/>
          <w:bCs/>
          <w:sz w:val="34"/>
          <w:szCs w:val="34"/>
          <w:u w:val="single"/>
          <w:rtl/>
        </w:rPr>
        <w:t>:</w:t>
      </w:r>
    </w:p>
    <w:p w:rsidR="009961EE" w:rsidRPr="002E3D0D" w:rsidRDefault="009961EE" w:rsidP="009961EE">
      <w:pPr>
        <w:bidi/>
        <w:jc w:val="both"/>
        <w:rPr>
          <w:rFonts w:ascii="Traditional Arabic" w:hAnsi="Traditional Arabic" w:cs="Traditional Arabic"/>
          <w:sz w:val="34"/>
          <w:szCs w:val="34"/>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 إن وظيفتها هي حفظ الجماعة على العمل في إيقاع واحد، ولهذا فإننا نجد أغنيات العمل قد تفتقد الوحدة الموضوعية، ذلك أن فترة العمل قد تطول بحيث يضطر المغني إلى أن يضيف إلى الأغنية كل ما يطرأ على ذهنه بكلام ينساق مع روح الأغنية، وقد تتغنى الجماعة بكلام يكشف عن الحرفة التي تشتغل بها، وقد يصحب العمل غناء فردي تستمع إليه الجماعة وتطرب له، فتستغرق في عملها متناسية بذلك مشقة العمل</w:t>
      </w:r>
      <w:r>
        <w:rPr>
          <w:rFonts w:ascii="Traditional Arabic" w:hAnsi="Traditional Arabic" w:cs="Traditional Arabic" w:hint="cs"/>
          <w:sz w:val="34"/>
          <w:szCs w:val="34"/>
          <w:rtl/>
          <w:lang w:bidi="ar-DZ"/>
        </w:rPr>
        <w:t>.</w:t>
      </w:r>
    </w:p>
    <w:p w:rsidR="009961EE" w:rsidRPr="002E3D0D" w:rsidRDefault="009961EE" w:rsidP="009961EE">
      <w:pPr>
        <w:bidi/>
        <w:jc w:val="both"/>
        <w:rPr>
          <w:rFonts w:ascii="Traditional Arabic" w:hAnsi="Traditional Arabic" w:cs="Traditional Arabic"/>
          <w:sz w:val="34"/>
          <w:szCs w:val="34"/>
          <w:lang w:bidi="ar-DZ"/>
        </w:rPr>
      </w:pPr>
      <w:r w:rsidRPr="002E3D0D">
        <w:rPr>
          <w:rFonts w:ascii="Traditional Arabic" w:hAnsi="Traditional Arabic" w:cs="Traditional Arabic"/>
          <w:b/>
          <w:bCs/>
          <w:sz w:val="34"/>
          <w:szCs w:val="34"/>
          <w:u w:val="single"/>
          <w:rtl/>
        </w:rPr>
        <w:t>الموال</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sz w:val="34"/>
          <w:szCs w:val="34"/>
          <w:u w:val="single"/>
          <w:lang w:bidi="ar-DZ"/>
        </w:rPr>
        <w:br/>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الموال نوعان: الموال الأحمر والموال الأخضر، والموال الأخضر كما يبدو</w:t>
      </w:r>
      <w:r>
        <w:rPr>
          <w:rFonts w:ascii="Traditional Arabic" w:hAnsi="Traditional Arabic" w:cs="Traditional Arabic"/>
          <w:sz w:val="34"/>
          <w:szCs w:val="34"/>
          <w:rtl/>
        </w:rPr>
        <w:t xml:space="preserve"> من تسميته يرتبط بالن</w:t>
      </w:r>
      <w:r>
        <w:rPr>
          <w:rFonts w:ascii="Traditional Arabic" w:hAnsi="Traditional Arabic" w:cs="Traditional Arabic" w:hint="cs"/>
          <w:sz w:val="34"/>
          <w:szCs w:val="34"/>
          <w:rtl/>
        </w:rPr>
        <w:t>ظ</w:t>
      </w:r>
      <w:r w:rsidRPr="002E3D0D">
        <w:rPr>
          <w:rFonts w:ascii="Traditional Arabic" w:hAnsi="Traditional Arabic" w:cs="Traditional Arabic"/>
          <w:sz w:val="34"/>
          <w:szCs w:val="34"/>
          <w:rtl/>
        </w:rPr>
        <w:t>رة والحياة، أي أنه الموال الذي يتغنى بالحب، أما الموال الأحمر فهو الموال الذي يبث فيه الإنسان الشعبي لوعته وألمه، لا من حب، بل من خوفه على ضياع القيم الأخلاقية</w:t>
      </w:r>
      <w:r>
        <w:rPr>
          <w:rFonts w:ascii="Traditional Arabic" w:hAnsi="Traditional Arabic" w:cs="Traditional Arabic" w:hint="cs"/>
          <w:sz w:val="34"/>
          <w:szCs w:val="34"/>
          <w:rtl/>
          <w:lang w:bidi="ar-DZ"/>
        </w:rPr>
        <w:t>.</w:t>
      </w:r>
    </w:p>
    <w:p w:rsidR="009961EE" w:rsidRPr="002E3D0D" w:rsidRDefault="009961EE" w:rsidP="009961EE">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lastRenderedPageBreak/>
        <w:t xml:space="preserve">       </w:t>
      </w:r>
      <w:r w:rsidRPr="002E3D0D">
        <w:rPr>
          <w:rFonts w:ascii="Traditional Arabic" w:hAnsi="Traditional Arabic" w:cs="Traditional Arabic"/>
          <w:sz w:val="34"/>
          <w:szCs w:val="34"/>
          <w:rtl/>
        </w:rPr>
        <w:t>تمثل الأغنية الشعبية أحد أكثر أشكال الأدب الشعبي حيوية وانتشارًا، إذ تجمع بين الكلمة والموسيقى والوظيفة الاجتماعية. وهي تعبير صادق عن وجدان الجماعة، وأداة للحفاظ على الذاكرة الثقافية، ووسيلة فعالة لنقل القيم والعادات عبر الأجيال، مما يجعلها عنصرًا أساسيًا في دراسة التراث الشعبي المغاربي والعربي</w:t>
      </w:r>
      <w:r w:rsidRPr="002E3D0D">
        <w:rPr>
          <w:rFonts w:ascii="Traditional Arabic" w:hAnsi="Traditional Arabic" w:cs="Traditional Arabic"/>
          <w:sz w:val="34"/>
          <w:szCs w:val="34"/>
        </w:rPr>
        <w:t>.</w:t>
      </w:r>
    </w:p>
    <w:p w:rsidR="00280678" w:rsidRDefault="00280678"/>
    <w:sectPr w:rsidR="00280678" w:rsidSect="0028067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477A" w:rsidRDefault="006D477A" w:rsidP="009961EE">
      <w:pPr>
        <w:spacing w:after="0" w:line="240" w:lineRule="auto"/>
      </w:pPr>
      <w:r>
        <w:separator/>
      </w:r>
    </w:p>
  </w:endnote>
  <w:endnote w:type="continuationSeparator" w:id="0">
    <w:p w:rsidR="006D477A" w:rsidRDefault="006D477A" w:rsidP="009961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477A" w:rsidRDefault="006D477A" w:rsidP="009961EE">
      <w:pPr>
        <w:spacing w:after="0" w:line="240" w:lineRule="auto"/>
      </w:pPr>
      <w:r>
        <w:separator/>
      </w:r>
    </w:p>
  </w:footnote>
  <w:footnote w:type="continuationSeparator" w:id="0">
    <w:p w:rsidR="006D477A" w:rsidRDefault="006D477A" w:rsidP="009961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6428E"/>
    <w:multiLevelType w:val="multilevel"/>
    <w:tmpl w:val="F800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912C84"/>
    <w:multiLevelType w:val="multilevel"/>
    <w:tmpl w:val="E28E1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71474A"/>
    <w:multiLevelType w:val="multilevel"/>
    <w:tmpl w:val="3E6E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9961EE"/>
    <w:rsid w:val="00037B17"/>
    <w:rsid w:val="00280678"/>
    <w:rsid w:val="006D477A"/>
    <w:rsid w:val="009961EE"/>
    <w:rsid w:val="00F6796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1EE"/>
    <w:pPr>
      <w:spacing w:after="200" w:line="276" w:lineRule="auto"/>
      <w:jc w:val="right"/>
    </w:pPr>
    <w:rPr>
      <w:rFonts w:asciiTheme="minorHAnsi" w:eastAsiaTheme="minorHAnsi" w:hAnsiTheme="minorHAnsi" w:cstheme="minorBid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F6796B"/>
    <w:pPr>
      <w:spacing w:after="0" w:line="240" w:lineRule="auto"/>
      <w:contextualSpacing/>
    </w:pPr>
    <w:rPr>
      <w:rFonts w:ascii="Cambria" w:eastAsia="Times New Roman" w:hAnsi="Cambria" w:cs="Times New Roman"/>
      <w:spacing w:val="-10"/>
      <w:kern w:val="28"/>
      <w:sz w:val="56"/>
      <w:szCs w:val="56"/>
      <w:lang w:eastAsia="fr-FR"/>
    </w:rPr>
  </w:style>
  <w:style w:type="character" w:customStyle="1" w:styleId="TitreCar">
    <w:name w:val="Titre Car"/>
    <w:link w:val="Titre"/>
    <w:uiPriority w:val="10"/>
    <w:rsid w:val="00F6796B"/>
    <w:rPr>
      <w:rFonts w:ascii="Cambria" w:eastAsia="Times New Roman" w:hAnsi="Cambria" w:cs="Times New Roman"/>
      <w:spacing w:val="-10"/>
      <w:kern w:val="28"/>
      <w:sz w:val="56"/>
      <w:szCs w:val="56"/>
    </w:rPr>
  </w:style>
  <w:style w:type="paragraph" w:styleId="Paragraphedeliste">
    <w:name w:val="List Paragraph"/>
    <w:basedOn w:val="Normal"/>
    <w:link w:val="ParagraphedelisteCar"/>
    <w:uiPriority w:val="34"/>
    <w:qFormat/>
    <w:rsid w:val="00F6796B"/>
    <w:pPr>
      <w:ind w:left="720"/>
      <w:contextualSpacing/>
    </w:pPr>
  </w:style>
  <w:style w:type="character" w:customStyle="1" w:styleId="ParagraphedelisteCar">
    <w:name w:val="Paragraphe de liste Car"/>
    <w:basedOn w:val="Policepardfaut"/>
    <w:link w:val="Paragraphedeliste"/>
    <w:uiPriority w:val="34"/>
    <w:rsid w:val="00F6796B"/>
    <w:rPr>
      <w:sz w:val="22"/>
      <w:szCs w:val="22"/>
      <w:lang w:eastAsia="en-US"/>
    </w:rPr>
  </w:style>
  <w:style w:type="paragraph" w:customStyle="1" w:styleId="Resum">
    <w:name w:val="Resumé"/>
    <w:next w:val="Normal"/>
    <w:link w:val="ResumCar"/>
    <w:qFormat/>
    <w:rsid w:val="00F6796B"/>
    <w:pPr>
      <w:bidi/>
      <w:spacing w:before="240" w:after="120" w:line="259" w:lineRule="auto"/>
      <w:ind w:firstLine="204"/>
      <w:jc w:val="right"/>
    </w:pPr>
    <w:rPr>
      <w:rFonts w:ascii="Simplified Arabic" w:eastAsia="Times New Roman" w:hAnsi="Simplified Arabic" w:cs="Simplified Arabic"/>
      <w:b/>
      <w:bCs/>
      <w:sz w:val="24"/>
      <w:szCs w:val="24"/>
      <w:lang w:eastAsia="it-IT"/>
    </w:rPr>
  </w:style>
  <w:style w:type="character" w:customStyle="1" w:styleId="ResumCar">
    <w:name w:val="Resumé Car"/>
    <w:link w:val="Resum"/>
    <w:rsid w:val="00F6796B"/>
    <w:rPr>
      <w:rFonts w:ascii="Simplified Arabic" w:eastAsia="Times New Roman" w:hAnsi="Simplified Arabic" w:cs="Simplified Arabic"/>
      <w:b/>
      <w:bCs/>
      <w:sz w:val="24"/>
      <w:szCs w:val="24"/>
      <w:lang w:eastAsia="it-IT"/>
    </w:rPr>
  </w:style>
  <w:style w:type="paragraph" w:customStyle="1" w:styleId="titreArticle">
    <w:name w:val="titreArticle"/>
    <w:basedOn w:val="Titre"/>
    <w:link w:val="titreArticleCar"/>
    <w:qFormat/>
    <w:rsid w:val="00F6796B"/>
    <w:pPr>
      <w:framePr w:w="9231" w:hSpace="187" w:vSpace="187" w:wrap="notBeside" w:vAnchor="text" w:hAnchor="page" w:x="1419" w:y="1"/>
      <w:contextualSpacing w:val="0"/>
      <w:jc w:val="center"/>
    </w:pPr>
    <w:rPr>
      <w:rFonts w:ascii="Times New Roman" w:hAnsi="Times New Roman"/>
      <w:b/>
      <w:sz w:val="48"/>
      <w:szCs w:val="48"/>
      <w:lang w:eastAsia="it-IT"/>
    </w:rPr>
  </w:style>
  <w:style w:type="character" w:customStyle="1" w:styleId="titreArticleCar">
    <w:name w:val="titreArticle Car"/>
    <w:link w:val="titreArticle"/>
    <w:rsid w:val="00F6796B"/>
    <w:rPr>
      <w:rFonts w:ascii="Times New Roman" w:eastAsia="Times New Roman" w:hAnsi="Times New Roman" w:cs="Times New Roman"/>
      <w:b/>
      <w:spacing w:val="-10"/>
      <w:kern w:val="28"/>
      <w:sz w:val="48"/>
      <w:szCs w:val="48"/>
      <w:lang w:eastAsia="it-IT"/>
    </w:rPr>
  </w:style>
  <w:style w:type="paragraph" w:customStyle="1" w:styleId="AuteurArticle">
    <w:name w:val="AuteurArticle"/>
    <w:basedOn w:val="Normal"/>
    <w:link w:val="AuteurArticleCar"/>
    <w:qFormat/>
    <w:rsid w:val="00F6796B"/>
    <w:pPr>
      <w:framePr w:w="10098" w:h="1191" w:hSpace="187" w:vSpace="187" w:wrap="notBeside" w:vAnchor="text" w:hAnchor="page" w:x="1095" w:y="642"/>
      <w:autoSpaceDE w:val="0"/>
      <w:autoSpaceDN w:val="0"/>
      <w:bidi/>
      <w:spacing w:after="0" w:line="240" w:lineRule="auto"/>
      <w:jc w:val="center"/>
    </w:pPr>
    <w:rPr>
      <w:rFonts w:ascii="Times New Roman" w:eastAsia="Times New Roman" w:hAnsi="Times New Roman" w:cs="Times New Roman"/>
      <w:sz w:val="20"/>
      <w:szCs w:val="20"/>
      <w:lang w:eastAsia="it-IT"/>
    </w:rPr>
  </w:style>
  <w:style w:type="character" w:customStyle="1" w:styleId="AuteurArticleCar">
    <w:name w:val="AuteurArticle Car"/>
    <w:link w:val="AuteurArticle"/>
    <w:rsid w:val="00F6796B"/>
    <w:rPr>
      <w:rFonts w:ascii="Times New Roman" w:eastAsia="Times New Roman" w:hAnsi="Times New Roman" w:cs="Times New Roman"/>
      <w:lang w:eastAsia="it-IT"/>
    </w:rPr>
  </w:style>
  <w:style w:type="paragraph" w:customStyle="1" w:styleId="Sction">
    <w:name w:val="Séction"/>
    <w:basedOn w:val="Normal"/>
    <w:next w:val="Normal"/>
    <w:link w:val="SctionCar"/>
    <w:qFormat/>
    <w:rsid w:val="00F6796B"/>
    <w:pPr>
      <w:outlineLvl w:val="0"/>
    </w:pPr>
    <w:rPr>
      <w:rFonts w:ascii="Simplified Arabic" w:hAnsi="Simplified Arabic" w:cs="Simplified Arabic"/>
      <w:b/>
      <w:bCs/>
      <w:caps/>
      <w:sz w:val="28"/>
      <w:szCs w:val="28"/>
      <w:lang w:eastAsia="it-IT"/>
    </w:rPr>
  </w:style>
  <w:style w:type="character" w:customStyle="1" w:styleId="SctionCar">
    <w:name w:val="Séction Car"/>
    <w:link w:val="Sction"/>
    <w:rsid w:val="00F6796B"/>
    <w:rPr>
      <w:rFonts w:ascii="Simplified Arabic" w:hAnsi="Simplified Arabic" w:cs="Simplified Arabic"/>
      <w:b/>
      <w:bCs/>
      <w:caps/>
      <w:sz w:val="28"/>
      <w:szCs w:val="28"/>
      <w:lang w:eastAsia="it-IT"/>
    </w:rPr>
  </w:style>
  <w:style w:type="paragraph" w:customStyle="1" w:styleId="TexteArticle">
    <w:name w:val="Texte Article"/>
    <w:link w:val="TexteArticleCar"/>
    <w:qFormat/>
    <w:rsid w:val="00F6796B"/>
    <w:pPr>
      <w:bidi/>
      <w:spacing w:before="240" w:after="120"/>
      <w:ind w:left="170" w:firstLine="425"/>
      <w:jc w:val="right"/>
    </w:pPr>
    <w:rPr>
      <w:rFonts w:ascii="Simplified Arabic" w:hAnsi="Simplified Arabic" w:cs="Simplified Arabic"/>
      <w:sz w:val="24"/>
      <w:szCs w:val="24"/>
      <w:lang w:eastAsia="it-IT"/>
    </w:rPr>
  </w:style>
  <w:style w:type="character" w:customStyle="1" w:styleId="TexteArticleCar">
    <w:name w:val="Texte Article Car"/>
    <w:link w:val="TexteArticle"/>
    <w:rsid w:val="00F6796B"/>
    <w:rPr>
      <w:rFonts w:ascii="Simplified Arabic" w:hAnsi="Simplified Arabic" w:cs="Simplified Arabic"/>
      <w:sz w:val="24"/>
      <w:szCs w:val="24"/>
      <w:lang w:eastAsia="it-IT"/>
    </w:rPr>
  </w:style>
  <w:style w:type="paragraph" w:customStyle="1" w:styleId="referance">
    <w:name w:val="referance"/>
    <w:basedOn w:val="Normal"/>
    <w:link w:val="referanceCar"/>
    <w:qFormat/>
    <w:rsid w:val="00F6796B"/>
    <w:pPr>
      <w:bidi/>
      <w:spacing w:after="0"/>
      <w:jc w:val="both"/>
    </w:pPr>
    <w:rPr>
      <w:rFonts w:ascii="Simplified Arabic" w:hAnsi="Simplified Arabic" w:cs="Simplified Arabic"/>
      <w:sz w:val="24"/>
      <w:szCs w:val="24"/>
      <w:lang w:eastAsia="it-IT"/>
    </w:rPr>
  </w:style>
  <w:style w:type="character" w:customStyle="1" w:styleId="referanceCar">
    <w:name w:val="referance Car"/>
    <w:link w:val="referance"/>
    <w:rsid w:val="00F6796B"/>
    <w:rPr>
      <w:rFonts w:ascii="Simplified Arabic" w:hAnsi="Simplified Arabic" w:cs="Simplified Arabic"/>
      <w:sz w:val="24"/>
      <w:szCs w:val="24"/>
      <w:lang w:eastAsia="it-IT"/>
    </w:rPr>
  </w:style>
  <w:style w:type="paragraph" w:styleId="Notedebasdepage">
    <w:name w:val="footnote text"/>
    <w:basedOn w:val="Normal"/>
    <w:link w:val="NotedebasdepageCar"/>
    <w:uiPriority w:val="99"/>
    <w:semiHidden/>
    <w:unhideWhenUsed/>
    <w:rsid w:val="009961E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961EE"/>
    <w:rPr>
      <w:rFonts w:asciiTheme="minorHAnsi" w:eastAsiaTheme="minorHAnsi" w:hAnsiTheme="minorHAnsi" w:cstheme="minorBidi"/>
      <w:lang w:eastAsia="en-US"/>
    </w:rPr>
  </w:style>
  <w:style w:type="character" w:styleId="Appelnotedebasdep">
    <w:name w:val="footnote reference"/>
    <w:basedOn w:val="Policepardfaut"/>
    <w:uiPriority w:val="99"/>
    <w:semiHidden/>
    <w:unhideWhenUsed/>
    <w:rsid w:val="009961EE"/>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780</Words>
  <Characters>4295</Characters>
  <Application>Microsoft Office Word</Application>
  <DocSecurity>0</DocSecurity>
  <Lines>35</Lines>
  <Paragraphs>10</Paragraphs>
  <ScaleCrop>false</ScaleCrop>
  <Company>Education</Company>
  <LinksUpToDate>false</LinksUpToDate>
  <CharactersWithSpaces>5065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Eleve</dc:creator>
  <cp:lastModifiedBy>Eleve</cp:lastModifiedBy>
  <cp:revision>1</cp:revision>
  <dcterms:created xsi:type="dcterms:W3CDTF">2026-06-19T15:48:00Z</dcterms:created>
  <dcterms:modified xsi:type="dcterms:W3CDTF">2026-06-19T15:51:00Z</dcterms:modified>
</cp:coreProperties>
</file>