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579A" w:rsidRPr="00F55412" w:rsidRDefault="00B80DA6" w:rsidP="007B7FFE">
      <w:pPr>
        <w:jc w:val="center"/>
        <w:rPr>
          <w:rFonts w:ascii="Traditional Arabic" w:hAnsi="Traditional Arabic" w:cs="Traditional Arabic" w:hint="cs"/>
          <w:b/>
          <w:bCs/>
          <w:sz w:val="36"/>
          <w:szCs w:val="36"/>
          <w:rtl/>
          <w:lang w:bidi="ar-DZ"/>
        </w:rPr>
      </w:pPr>
      <w:r w:rsidRPr="00F55412">
        <w:rPr>
          <w:rFonts w:ascii="Traditional Arabic" w:hAnsi="Traditional Arabic" w:cs="Traditional Arabic" w:hint="cs"/>
          <w:b/>
          <w:bCs/>
          <w:sz w:val="36"/>
          <w:szCs w:val="36"/>
          <w:rtl/>
          <w:lang w:bidi="ar-DZ"/>
        </w:rPr>
        <w:t>المحاضرة 1: مدخل إلى السرديات العربية الحديثة والمعاصرة</w:t>
      </w:r>
      <w:r w:rsidR="00F55412" w:rsidRPr="00F55412">
        <w:rPr>
          <w:rFonts w:ascii="Traditional Arabic" w:hAnsi="Traditional Arabic" w:cs="Traditional Arabic" w:hint="cs"/>
          <w:b/>
          <w:bCs/>
          <w:sz w:val="36"/>
          <w:szCs w:val="36"/>
          <w:rtl/>
          <w:lang w:bidi="ar-DZ"/>
        </w:rPr>
        <w:t>.</w:t>
      </w:r>
    </w:p>
    <w:p w:rsidR="00B80DA6" w:rsidRPr="00F55412" w:rsidRDefault="00B80DA6" w:rsidP="00B80DA6">
      <w:pPr>
        <w:jc w:val="right"/>
        <w:rPr>
          <w:rFonts w:ascii="Traditional Arabic" w:hAnsi="Traditional Arabic" w:cs="Traditional Arabic" w:hint="cs"/>
          <w:b/>
          <w:bCs/>
          <w:sz w:val="32"/>
          <w:szCs w:val="32"/>
          <w:rtl/>
          <w:lang w:bidi="ar-DZ"/>
        </w:rPr>
      </w:pPr>
      <w:r w:rsidRPr="00F55412">
        <w:rPr>
          <w:rFonts w:ascii="Traditional Arabic" w:hAnsi="Traditional Arabic" w:cs="Traditional Arabic" w:hint="cs"/>
          <w:b/>
          <w:bCs/>
          <w:sz w:val="32"/>
          <w:szCs w:val="32"/>
          <w:rtl/>
          <w:lang w:bidi="ar-DZ"/>
        </w:rPr>
        <w:t xml:space="preserve">تمهيد: </w:t>
      </w:r>
    </w:p>
    <w:p w:rsidR="00B80DA6" w:rsidRDefault="00B80DA6" w:rsidP="00F55412">
      <w:pPr>
        <w:bidi/>
        <w:spacing w:line="240" w:lineRule="auto"/>
        <w:jc w:val="both"/>
        <w:rPr>
          <w:rFonts w:ascii="Traditional Arabic" w:hAnsi="Traditional Arabic" w:cs="Traditional Arabic" w:hint="cs"/>
          <w:sz w:val="32"/>
          <w:szCs w:val="32"/>
          <w:rtl/>
          <w:lang w:bidi="ar-DZ"/>
        </w:rPr>
      </w:pPr>
      <w:r>
        <w:rPr>
          <w:rFonts w:ascii="Traditional Arabic" w:hAnsi="Traditional Arabic" w:cs="Traditional Arabic" w:hint="cs"/>
          <w:sz w:val="32"/>
          <w:szCs w:val="32"/>
          <w:rtl/>
          <w:lang w:bidi="ar-DZ"/>
        </w:rPr>
        <w:t xml:space="preserve">    أثارت أصول الر</w:t>
      </w:r>
      <w:r w:rsidR="001779D0">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واية العربية وري</w:t>
      </w:r>
      <w:r w:rsidR="001779D0">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ادتها آراء</w:t>
      </w:r>
      <w:r w:rsidR="001779D0">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 xml:space="preserve"> كثيرة</w:t>
      </w:r>
      <w:r w:rsidR="001779D0">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 xml:space="preserve"> في نقدنا الحديث، حيث تداخلت في بعضها وتعر</w:t>
      </w:r>
      <w:r w:rsidR="001779D0">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 xml:space="preserve">ضت في بعضها الآخر وبخاصة </w:t>
      </w:r>
      <w:r w:rsidR="00F55412">
        <w:rPr>
          <w:rFonts w:ascii="Traditional Arabic" w:hAnsi="Traditional Arabic" w:cs="Traditional Arabic" w:hint="cs"/>
          <w:sz w:val="32"/>
          <w:szCs w:val="32"/>
          <w:rtl/>
          <w:lang w:bidi="ar-DZ"/>
        </w:rPr>
        <w:t>في موضوع المؤث</w:t>
      </w:r>
      <w:r w:rsidR="001779D0">
        <w:rPr>
          <w:rFonts w:ascii="Traditional Arabic" w:hAnsi="Traditional Arabic" w:cs="Traditional Arabic" w:hint="cs"/>
          <w:sz w:val="32"/>
          <w:szCs w:val="32"/>
          <w:rtl/>
          <w:lang w:bidi="ar-DZ"/>
        </w:rPr>
        <w:t>ّ</w:t>
      </w:r>
      <w:r w:rsidR="00F55412">
        <w:rPr>
          <w:rFonts w:ascii="Traditional Arabic" w:hAnsi="Traditional Arabic" w:cs="Traditional Arabic" w:hint="cs"/>
          <w:sz w:val="32"/>
          <w:szCs w:val="32"/>
          <w:rtl/>
          <w:lang w:bidi="ar-DZ"/>
        </w:rPr>
        <w:t>رات وفي الأصول وفي الر</w:t>
      </w:r>
      <w:r w:rsidR="001779D0">
        <w:rPr>
          <w:rFonts w:ascii="Traditional Arabic" w:hAnsi="Traditional Arabic" w:cs="Traditional Arabic" w:hint="cs"/>
          <w:sz w:val="32"/>
          <w:szCs w:val="32"/>
          <w:rtl/>
          <w:lang w:bidi="ar-DZ"/>
        </w:rPr>
        <w:t>ّ</w:t>
      </w:r>
      <w:r w:rsidR="00F55412">
        <w:rPr>
          <w:rFonts w:ascii="Traditional Arabic" w:hAnsi="Traditional Arabic" w:cs="Traditional Arabic" w:hint="cs"/>
          <w:sz w:val="32"/>
          <w:szCs w:val="32"/>
          <w:rtl/>
          <w:lang w:bidi="ar-DZ"/>
        </w:rPr>
        <w:t>واد الأوائل وفي النصوص الر</w:t>
      </w:r>
      <w:r w:rsidR="001779D0">
        <w:rPr>
          <w:rFonts w:ascii="Traditional Arabic" w:hAnsi="Traditional Arabic" w:cs="Traditional Arabic" w:hint="cs"/>
          <w:sz w:val="32"/>
          <w:szCs w:val="32"/>
          <w:rtl/>
          <w:lang w:bidi="ar-DZ"/>
        </w:rPr>
        <w:t>ّ</w:t>
      </w:r>
      <w:r w:rsidR="00F55412">
        <w:rPr>
          <w:rFonts w:ascii="Traditional Arabic" w:hAnsi="Traditional Arabic" w:cs="Traditional Arabic" w:hint="cs"/>
          <w:sz w:val="32"/>
          <w:szCs w:val="32"/>
          <w:rtl/>
          <w:lang w:bidi="ar-DZ"/>
        </w:rPr>
        <w:t>وائية الأولى بالإضافة إلى الخصائص التي اتسمت بها النصوص المنظور إليها كممث</w:t>
      </w:r>
      <w:r w:rsidR="001779D0">
        <w:rPr>
          <w:rFonts w:ascii="Traditional Arabic" w:hAnsi="Traditional Arabic" w:cs="Traditional Arabic" w:hint="cs"/>
          <w:sz w:val="32"/>
          <w:szCs w:val="32"/>
          <w:rtl/>
          <w:lang w:bidi="ar-DZ"/>
        </w:rPr>
        <w:t>ّ</w:t>
      </w:r>
      <w:r w:rsidR="00F55412">
        <w:rPr>
          <w:rFonts w:ascii="Traditional Arabic" w:hAnsi="Traditional Arabic" w:cs="Traditional Arabic" w:hint="cs"/>
          <w:sz w:val="32"/>
          <w:szCs w:val="32"/>
          <w:rtl/>
          <w:lang w:bidi="ar-DZ"/>
        </w:rPr>
        <w:t>ل لهذه الر</w:t>
      </w:r>
      <w:r w:rsidR="001779D0">
        <w:rPr>
          <w:rFonts w:ascii="Traditional Arabic" w:hAnsi="Traditional Arabic" w:cs="Traditional Arabic" w:hint="cs"/>
          <w:sz w:val="32"/>
          <w:szCs w:val="32"/>
          <w:rtl/>
          <w:lang w:bidi="ar-DZ"/>
        </w:rPr>
        <w:t>ّ</w:t>
      </w:r>
      <w:r w:rsidR="00F55412">
        <w:rPr>
          <w:rFonts w:ascii="Traditional Arabic" w:hAnsi="Traditional Arabic" w:cs="Traditional Arabic" w:hint="cs"/>
          <w:sz w:val="32"/>
          <w:szCs w:val="32"/>
          <w:rtl/>
          <w:lang w:bidi="ar-DZ"/>
        </w:rPr>
        <w:t>واية.</w:t>
      </w:r>
    </w:p>
    <w:p w:rsidR="00F55412" w:rsidRDefault="00F55412" w:rsidP="00F55412">
      <w:pPr>
        <w:bidi/>
        <w:spacing w:line="240" w:lineRule="auto"/>
        <w:jc w:val="both"/>
        <w:rPr>
          <w:rFonts w:ascii="Traditional Arabic" w:hAnsi="Traditional Arabic" w:cs="Traditional Arabic" w:hint="cs"/>
          <w:sz w:val="32"/>
          <w:szCs w:val="32"/>
          <w:rtl/>
          <w:lang w:bidi="ar-DZ"/>
        </w:rPr>
      </w:pPr>
      <w:r>
        <w:rPr>
          <w:rFonts w:ascii="Traditional Arabic" w:hAnsi="Traditional Arabic" w:cs="Traditional Arabic" w:hint="cs"/>
          <w:sz w:val="32"/>
          <w:szCs w:val="32"/>
          <w:rtl/>
          <w:lang w:bidi="ar-DZ"/>
        </w:rPr>
        <w:t xml:space="preserve">    هنالك فكرة قديمة تعود إلى أواخر القرن 19(1801-1900)، ترى أن الر</w:t>
      </w:r>
      <w:r w:rsidR="001779D0">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واية العربية اقتبست على الغربية، وأنّ الروائيين العرب كتبوا رواياتهم تقليدا للإفرنج، وتحوّلت هذه الفكرة إلى شبه مسلّمة جرى الأخذ بها منذ تلك الفترة، وظلت توجّه الفكر الن</w:t>
      </w:r>
      <w:r w:rsidR="001779D0">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قدي كلّما أثيرت هذه القضي</w:t>
      </w:r>
      <w:r w:rsidR="001779D0">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ة.</w:t>
      </w:r>
    </w:p>
    <w:p w:rsidR="00F55412" w:rsidRDefault="00C96CB8" w:rsidP="001779D0">
      <w:pPr>
        <w:bidi/>
        <w:spacing w:line="240" w:lineRule="auto"/>
        <w:jc w:val="both"/>
        <w:rPr>
          <w:rFonts w:ascii="Traditional Arabic" w:hAnsi="Traditional Arabic" w:cs="Traditional Arabic" w:hint="cs"/>
          <w:sz w:val="32"/>
          <w:szCs w:val="32"/>
          <w:rtl/>
          <w:lang w:bidi="ar-DZ"/>
        </w:rPr>
      </w:pPr>
      <w:r>
        <w:rPr>
          <w:rFonts w:ascii="Traditional Arabic" w:hAnsi="Traditional Arabic" w:cs="Traditional Arabic" w:hint="cs"/>
          <w:sz w:val="32"/>
          <w:szCs w:val="32"/>
          <w:rtl/>
          <w:lang w:bidi="ar-DZ"/>
        </w:rPr>
        <w:t xml:space="preserve">   يقول</w:t>
      </w:r>
      <w:r w:rsidR="001779D0">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محمد حسين هيكل</w:t>
      </w:r>
      <w:r w:rsidR="001779D0">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 " القص</w:t>
      </w:r>
      <w:r w:rsidR="001779D0">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ة في الأدب العربي الحديث ما تزال أغلب أمرها تستلهم القص</w:t>
      </w:r>
      <w:r w:rsidR="001779D0">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ة الغربية مقلّدة إيّاها في صورتها، غير صادرة في الوقت نفسه عن فكرة ومثل أعلى يحرّكان نفس صاحبها".</w:t>
      </w:r>
    </w:p>
    <w:p w:rsidR="00C96CB8" w:rsidRDefault="00C96CB8" w:rsidP="001779D0">
      <w:pPr>
        <w:bidi/>
        <w:spacing w:line="240" w:lineRule="auto"/>
        <w:jc w:val="both"/>
        <w:rPr>
          <w:rFonts w:ascii="Traditional Arabic" w:hAnsi="Traditional Arabic" w:cs="Traditional Arabic" w:hint="cs"/>
          <w:sz w:val="32"/>
          <w:szCs w:val="32"/>
          <w:rtl/>
          <w:lang w:bidi="ar-DZ"/>
        </w:rPr>
      </w:pPr>
      <w:r>
        <w:rPr>
          <w:rFonts w:ascii="Traditional Arabic" w:hAnsi="Traditional Arabic" w:cs="Traditional Arabic" w:hint="cs"/>
          <w:sz w:val="32"/>
          <w:szCs w:val="32"/>
          <w:rtl/>
          <w:lang w:bidi="ar-DZ"/>
        </w:rPr>
        <w:t xml:space="preserve">   وينطلق</w:t>
      </w:r>
      <w:r w:rsidR="001779D0">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يحي حقي</w:t>
      </w:r>
      <w:r w:rsidR="001779D0">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 xml:space="preserve"> من المسلّمة نفسها، يقول:" القصة  </w:t>
      </w:r>
      <w:r w:rsidR="00873DD7">
        <w:rPr>
          <w:rFonts w:ascii="Traditional Arabic" w:hAnsi="Traditional Arabic" w:cs="Traditional Arabic" w:hint="cs"/>
          <w:sz w:val="32"/>
          <w:szCs w:val="32"/>
          <w:rtl/>
          <w:lang w:bidi="ar-DZ"/>
        </w:rPr>
        <w:t>جاءتنا من الغرب وأوّل من أقام قواعدها عندنا أفراد تأثّروا بال</w:t>
      </w:r>
      <w:r w:rsidR="007B7FFE">
        <w:rPr>
          <w:rFonts w:ascii="Traditional Arabic" w:hAnsi="Traditional Arabic" w:cs="Traditional Arabic" w:hint="cs"/>
          <w:sz w:val="32"/>
          <w:szCs w:val="32"/>
          <w:rtl/>
          <w:lang w:bidi="ar-DZ"/>
        </w:rPr>
        <w:t>أدب الأوروبي</w:t>
      </w:r>
      <w:r w:rsidR="001779D0">
        <w:rPr>
          <w:rFonts w:ascii="Traditional Arabic" w:hAnsi="Traditional Arabic" w:cs="Traditional Arabic" w:hint="cs"/>
          <w:sz w:val="32"/>
          <w:szCs w:val="32"/>
          <w:rtl/>
          <w:lang w:bidi="ar-DZ"/>
        </w:rPr>
        <w:t xml:space="preserve"> </w:t>
      </w:r>
      <w:r w:rsidR="007B7FFE">
        <w:rPr>
          <w:rFonts w:ascii="Traditional Arabic" w:hAnsi="Traditional Arabic" w:cs="Traditional Arabic" w:hint="cs"/>
          <w:sz w:val="32"/>
          <w:szCs w:val="32"/>
          <w:rtl/>
          <w:lang w:bidi="ar-DZ"/>
        </w:rPr>
        <w:t>والأدب الفرنسي بصفة خاصة".</w:t>
      </w:r>
    </w:p>
    <w:p w:rsidR="007B7FFE" w:rsidRDefault="007B7FFE" w:rsidP="007B7FFE">
      <w:pPr>
        <w:bidi/>
        <w:spacing w:line="240" w:lineRule="auto"/>
        <w:jc w:val="both"/>
        <w:rPr>
          <w:rFonts w:ascii="Traditional Arabic" w:hAnsi="Traditional Arabic" w:cs="Traditional Arabic" w:hint="cs"/>
          <w:sz w:val="32"/>
          <w:szCs w:val="32"/>
          <w:rtl/>
          <w:lang w:bidi="ar-DZ"/>
        </w:rPr>
      </w:pPr>
      <w:r>
        <w:rPr>
          <w:rFonts w:ascii="Traditional Arabic" w:hAnsi="Traditional Arabic" w:cs="Traditional Arabic" w:hint="cs"/>
          <w:sz w:val="32"/>
          <w:szCs w:val="32"/>
          <w:rtl/>
          <w:lang w:bidi="ar-DZ"/>
        </w:rPr>
        <w:t xml:space="preserve">  إنّ التسليم بفاعلية المؤثر الغربي إلى هذه الد</w:t>
      </w:r>
      <w:r w:rsidR="001779D0">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رجة أمر مبالغ فيه إلى حدّ بعيد، والجدير بالذ</w:t>
      </w:r>
      <w:r w:rsidR="001779D0">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كر أنّ هذا لم يكن التفسير الوحيد حيث بدأ منذ خمسينيات القرن 20 تبلور تفسير يذهب إلى عكس التفسير السابق، يؤكّد على الأصول العربية للرّواية وأنّها انحدرت عن أصول عربية خالصة، وكان"فاروق خورشيد" قد شكّك</w:t>
      </w:r>
      <w:r w:rsidR="002276C9">
        <w:rPr>
          <w:rFonts w:ascii="Traditional Arabic" w:hAnsi="Traditional Arabic" w:cs="Traditional Arabic" w:hint="cs"/>
          <w:sz w:val="32"/>
          <w:szCs w:val="32"/>
          <w:rtl/>
          <w:lang w:bidi="ar-DZ"/>
        </w:rPr>
        <w:t xml:space="preserve"> في القول الشائع بأنّ الرّواية العربية هي من نتاج التأثّر بالآداب الغربية ودعا إلى البحث عن أصول لها غير النّقل والترجمة وذلك يعود إلى استحالة أن يقوم أدب أصيل عن التقلي</w:t>
      </w:r>
      <w:r w:rsidR="001779D0">
        <w:rPr>
          <w:rFonts w:ascii="Traditional Arabic" w:hAnsi="Traditional Arabic" w:cs="Traditional Arabic" w:hint="cs"/>
          <w:sz w:val="32"/>
          <w:szCs w:val="32"/>
          <w:rtl/>
          <w:lang w:bidi="ar-DZ"/>
        </w:rPr>
        <w:t>د</w:t>
      </w:r>
      <w:r w:rsidR="002276C9">
        <w:rPr>
          <w:rFonts w:ascii="Traditional Arabic" w:hAnsi="Traditional Arabic" w:cs="Traditional Arabic" w:hint="cs"/>
          <w:sz w:val="32"/>
          <w:szCs w:val="32"/>
          <w:rtl/>
          <w:lang w:bidi="ar-DZ"/>
        </w:rPr>
        <w:t xml:space="preserve"> المحْض. وعليه ينبغي البحث عن سبب آخر لظهور الرّواية غير السّبب القائل بأنّها تقليد للرّواية الغربية.</w:t>
      </w:r>
    </w:p>
    <w:p w:rsidR="002276C9" w:rsidRDefault="002276C9" w:rsidP="002276C9">
      <w:pPr>
        <w:bidi/>
        <w:spacing w:line="240" w:lineRule="auto"/>
        <w:jc w:val="both"/>
        <w:rPr>
          <w:rFonts w:ascii="Traditional Arabic" w:hAnsi="Traditional Arabic" w:cs="Traditional Arabic" w:hint="cs"/>
          <w:sz w:val="32"/>
          <w:szCs w:val="32"/>
          <w:rtl/>
          <w:lang w:bidi="ar-DZ"/>
        </w:rPr>
      </w:pPr>
      <w:r>
        <w:rPr>
          <w:rFonts w:ascii="Traditional Arabic" w:hAnsi="Traditional Arabic" w:cs="Traditional Arabic" w:hint="cs"/>
          <w:sz w:val="32"/>
          <w:szCs w:val="32"/>
          <w:rtl/>
          <w:lang w:bidi="ar-DZ"/>
        </w:rPr>
        <w:t xml:space="preserve">  ينطلق"فاروق خورشيد" من فكرة أساسية ترى في المدوّنات والمرويات السردية القديمة الأصل والنّموذج الأمثل للرّواية"فخورشيد" يتعامل مع كتب الأخبار والحكايات الخرافية والسير الشعبية باعتبارها الأساس</w:t>
      </w:r>
      <w:r w:rsidR="002503A0">
        <w:rPr>
          <w:rFonts w:ascii="Traditional Arabic" w:hAnsi="Traditional Arabic" w:cs="Traditional Arabic" w:hint="cs"/>
          <w:sz w:val="32"/>
          <w:szCs w:val="32"/>
          <w:rtl/>
          <w:lang w:bidi="ar-DZ"/>
        </w:rPr>
        <w:t xml:space="preserve"> الذي قامت عليه الرّواية العربية الحديثة.</w:t>
      </w:r>
    </w:p>
    <w:p w:rsidR="002503A0" w:rsidRDefault="002503A0" w:rsidP="001779D0">
      <w:pPr>
        <w:bidi/>
        <w:spacing w:line="240" w:lineRule="auto"/>
        <w:jc w:val="both"/>
        <w:rPr>
          <w:rFonts w:ascii="Traditional Arabic" w:hAnsi="Traditional Arabic" w:cs="Traditional Arabic" w:hint="cs"/>
          <w:sz w:val="32"/>
          <w:szCs w:val="32"/>
          <w:rtl/>
          <w:lang w:bidi="ar-DZ"/>
        </w:rPr>
      </w:pPr>
      <w:r>
        <w:rPr>
          <w:rFonts w:ascii="Traditional Arabic" w:hAnsi="Traditional Arabic" w:cs="Traditional Arabic" w:hint="cs"/>
          <w:sz w:val="32"/>
          <w:szCs w:val="32"/>
          <w:rtl/>
          <w:lang w:bidi="ar-DZ"/>
        </w:rPr>
        <w:t xml:space="preserve">   يكشف تفسير"خورشي</w:t>
      </w:r>
      <w:r w:rsidR="001779D0">
        <w:rPr>
          <w:rFonts w:ascii="Traditional Arabic" w:hAnsi="Traditional Arabic" w:cs="Traditional Arabic" w:hint="cs"/>
          <w:sz w:val="32"/>
          <w:szCs w:val="32"/>
          <w:rtl/>
          <w:lang w:bidi="ar-DZ"/>
        </w:rPr>
        <w:t>د</w:t>
      </w:r>
      <w:r>
        <w:rPr>
          <w:rFonts w:ascii="Traditional Arabic" w:hAnsi="Traditional Arabic" w:cs="Traditional Arabic" w:hint="cs"/>
          <w:sz w:val="32"/>
          <w:szCs w:val="32"/>
          <w:rtl/>
          <w:lang w:bidi="ar-DZ"/>
        </w:rPr>
        <w:t>" تغييبا واضحا لمعطيات نظرية الأدب حيث لا يفهم الفارق الواضح بين تلك الأنواع القديمة وبين الخصائص الفنية المميّزة للرواية كنوع أدبي محّ</w:t>
      </w:r>
      <w:r w:rsidR="001779D0">
        <w:rPr>
          <w:rFonts w:ascii="Traditional Arabic" w:hAnsi="Traditional Arabic" w:cs="Traditional Arabic" w:hint="cs"/>
          <w:sz w:val="32"/>
          <w:szCs w:val="32"/>
          <w:rtl/>
          <w:lang w:bidi="ar-DZ"/>
        </w:rPr>
        <w:t>دد</w:t>
      </w:r>
      <w:r>
        <w:rPr>
          <w:rFonts w:ascii="Traditional Arabic" w:hAnsi="Traditional Arabic" w:cs="Traditional Arabic" w:hint="cs"/>
          <w:sz w:val="32"/>
          <w:szCs w:val="32"/>
          <w:rtl/>
          <w:lang w:bidi="ar-DZ"/>
        </w:rPr>
        <w:t>، وفي إشارة مهم</w:t>
      </w:r>
      <w:r w:rsidR="001779D0">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 xml:space="preserve">ة </w:t>
      </w:r>
      <w:r w:rsidR="001779D0">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للسيد البحراوي</w:t>
      </w:r>
      <w:r w:rsidR="001779D0">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 xml:space="preserve"> عن إشكالية الأخذ والتسليم بهذا الرأي يقول:" الذي يرى أنّ الر</w:t>
      </w:r>
      <w:r w:rsidR="001779D0">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 xml:space="preserve">واية هي امتداد لأنواع قصصية عربية قديمة، لا يفهم </w:t>
      </w:r>
      <w:r w:rsidR="001E77C9">
        <w:rPr>
          <w:rFonts w:ascii="Traditional Arabic" w:hAnsi="Traditional Arabic" w:cs="Traditional Arabic" w:hint="cs"/>
          <w:sz w:val="32"/>
          <w:szCs w:val="32"/>
          <w:rtl/>
          <w:lang w:bidi="ar-DZ"/>
        </w:rPr>
        <w:t>الفارق الواضح بين فنية تلك الأنواع القديمة وتنوع</w:t>
      </w:r>
      <w:r w:rsidR="001779D0">
        <w:rPr>
          <w:rFonts w:ascii="Traditional Arabic" w:hAnsi="Traditional Arabic" w:cs="Traditional Arabic" w:hint="cs"/>
          <w:sz w:val="32"/>
          <w:szCs w:val="32"/>
          <w:rtl/>
          <w:lang w:bidi="ar-DZ"/>
        </w:rPr>
        <w:t>ّ</w:t>
      </w:r>
      <w:r w:rsidR="001E77C9">
        <w:rPr>
          <w:rFonts w:ascii="Traditional Arabic" w:hAnsi="Traditional Arabic" w:cs="Traditional Arabic" w:hint="cs"/>
          <w:sz w:val="32"/>
          <w:szCs w:val="32"/>
          <w:rtl/>
          <w:lang w:bidi="ar-DZ"/>
        </w:rPr>
        <w:t>ها، وبين الخصائص الفنية للر</w:t>
      </w:r>
      <w:r w:rsidR="001779D0">
        <w:rPr>
          <w:rFonts w:ascii="Traditional Arabic" w:hAnsi="Traditional Arabic" w:cs="Traditional Arabic" w:hint="cs"/>
          <w:sz w:val="32"/>
          <w:szCs w:val="32"/>
          <w:rtl/>
          <w:lang w:bidi="ar-DZ"/>
        </w:rPr>
        <w:t>ّ</w:t>
      </w:r>
      <w:r w:rsidR="001E77C9">
        <w:rPr>
          <w:rFonts w:ascii="Traditional Arabic" w:hAnsi="Traditional Arabic" w:cs="Traditional Arabic" w:hint="cs"/>
          <w:sz w:val="32"/>
          <w:szCs w:val="32"/>
          <w:rtl/>
          <w:lang w:bidi="ar-DZ"/>
        </w:rPr>
        <w:t>واية الأدبية كنوع أدبي محد</w:t>
      </w:r>
      <w:r w:rsidR="001779D0">
        <w:rPr>
          <w:rFonts w:ascii="Traditional Arabic" w:hAnsi="Traditional Arabic" w:cs="Traditional Arabic" w:hint="cs"/>
          <w:sz w:val="32"/>
          <w:szCs w:val="32"/>
          <w:rtl/>
          <w:lang w:bidi="ar-DZ"/>
        </w:rPr>
        <w:t>ّ</w:t>
      </w:r>
      <w:r w:rsidR="001E77C9">
        <w:rPr>
          <w:rFonts w:ascii="Traditional Arabic" w:hAnsi="Traditional Arabic" w:cs="Traditional Arabic" w:hint="cs"/>
          <w:sz w:val="32"/>
          <w:szCs w:val="32"/>
          <w:rtl/>
          <w:lang w:bidi="ar-DZ"/>
        </w:rPr>
        <w:t xml:space="preserve">د، هذا </w:t>
      </w:r>
      <w:r w:rsidR="001E77C9">
        <w:rPr>
          <w:rFonts w:ascii="Traditional Arabic" w:hAnsi="Traditional Arabic" w:cs="Traditional Arabic" w:hint="cs"/>
          <w:sz w:val="32"/>
          <w:szCs w:val="32"/>
          <w:rtl/>
          <w:lang w:bidi="ar-DZ"/>
        </w:rPr>
        <w:lastRenderedPageBreak/>
        <w:t>بالإضافة إلى أنّه يتصوّر الأنواع الأدبية تسير سيرتها الحياتية المستقلّة، وتنتقل من زمن إلى آخر بحرية مطلقة لا تقيّدها حدود الزمن وتطور البشر منتجي هذه  الأنواع الأدبية أي أنّهم يعزلون هاته الأنواع في ذاتها، ويهملونها عن تاريخها الذي هو المكوّن الأساس لها".</w:t>
      </w:r>
    </w:p>
    <w:p w:rsidR="001E77C9" w:rsidRDefault="001E77C9" w:rsidP="005A2C18">
      <w:pPr>
        <w:bidi/>
        <w:spacing w:line="240" w:lineRule="auto"/>
        <w:jc w:val="both"/>
        <w:rPr>
          <w:rFonts w:ascii="Traditional Arabic" w:hAnsi="Traditional Arabic" w:cs="Traditional Arabic" w:hint="cs"/>
          <w:sz w:val="32"/>
          <w:szCs w:val="32"/>
          <w:rtl/>
          <w:lang w:bidi="ar-DZ"/>
        </w:rPr>
      </w:pPr>
      <w:r>
        <w:rPr>
          <w:rFonts w:ascii="Traditional Arabic" w:hAnsi="Traditional Arabic" w:cs="Traditional Arabic" w:hint="cs"/>
          <w:sz w:val="32"/>
          <w:szCs w:val="32"/>
          <w:rtl/>
          <w:lang w:bidi="ar-DZ"/>
        </w:rPr>
        <w:t xml:space="preserve">    وفي ردّ"محمد منذور" على "خورشي</w:t>
      </w:r>
      <w:r w:rsidR="00D42831">
        <w:rPr>
          <w:rFonts w:ascii="Traditional Arabic" w:hAnsi="Traditional Arabic" w:cs="Traditional Arabic" w:hint="cs"/>
          <w:sz w:val="32"/>
          <w:szCs w:val="32"/>
          <w:rtl/>
          <w:lang w:bidi="ar-DZ"/>
        </w:rPr>
        <w:t>د</w:t>
      </w:r>
      <w:r>
        <w:rPr>
          <w:rFonts w:ascii="Traditional Arabic" w:hAnsi="Traditional Arabic" w:cs="Traditional Arabic" w:hint="cs"/>
          <w:sz w:val="32"/>
          <w:szCs w:val="32"/>
          <w:rtl/>
          <w:lang w:bidi="ar-DZ"/>
        </w:rPr>
        <w:t>"</w:t>
      </w:r>
      <w:r w:rsidR="00D42831">
        <w:rPr>
          <w:rFonts w:ascii="Traditional Arabic" w:hAnsi="Traditional Arabic" w:cs="Traditional Arabic" w:hint="cs"/>
          <w:sz w:val="32"/>
          <w:szCs w:val="32"/>
          <w:rtl/>
          <w:lang w:bidi="ar-DZ"/>
        </w:rPr>
        <w:t xml:space="preserve"> حول كون المرويات السردية هي الرواية العربية يقول:" أما أن يحاول خورشيد إقناعنا بأنّ هذا التراث القديم يكون فجر القصة العربية المعاصرة، فهذا مالم يقم عليه دليل، فأغلب التراث الذي تحدّث عنه أصبح من وثائق التاريخ، أي من الماضي المنقطع الذي لا نحسّ اليوم بأنّه مستمرّ تأثير </w:t>
      </w:r>
      <w:r w:rsidR="001779D0">
        <w:rPr>
          <w:rFonts w:ascii="Traditional Arabic" w:hAnsi="Traditional Arabic" w:cs="Traditional Arabic" w:hint="cs"/>
          <w:sz w:val="32"/>
          <w:szCs w:val="32"/>
          <w:rtl/>
          <w:lang w:bidi="ar-DZ"/>
        </w:rPr>
        <w:t>إنتاجنا</w:t>
      </w:r>
      <w:r w:rsidR="00D42831">
        <w:rPr>
          <w:rFonts w:ascii="Traditional Arabic" w:hAnsi="Traditional Arabic" w:cs="Traditional Arabic" w:hint="cs"/>
          <w:sz w:val="32"/>
          <w:szCs w:val="32"/>
          <w:rtl/>
          <w:lang w:bidi="ar-DZ"/>
        </w:rPr>
        <w:t xml:space="preserve"> القصصي المعاصر، وكلّ ما هناك هو أن تراثنا الشعبي اتخذه ولا يزال يتخذه عدد من أدبائنا مادة أولية في بعض قصصهم أو مسرحياتهم".</w:t>
      </w:r>
    </w:p>
    <w:p w:rsidR="00D42831" w:rsidRDefault="005A2C18" w:rsidP="005A2C18">
      <w:pPr>
        <w:bidi/>
        <w:spacing w:line="240" w:lineRule="auto"/>
        <w:jc w:val="both"/>
        <w:rPr>
          <w:rFonts w:ascii="Traditional Arabic" w:hAnsi="Traditional Arabic" w:cs="Traditional Arabic" w:hint="cs"/>
          <w:sz w:val="32"/>
          <w:szCs w:val="32"/>
          <w:rtl/>
          <w:lang w:bidi="ar-DZ"/>
        </w:rPr>
      </w:pPr>
      <w:r>
        <w:rPr>
          <w:rFonts w:ascii="Traditional Arabic" w:hAnsi="Traditional Arabic" w:cs="Traditional Arabic" w:hint="cs"/>
          <w:sz w:val="32"/>
          <w:szCs w:val="32"/>
          <w:rtl/>
          <w:lang w:bidi="ar-DZ"/>
        </w:rPr>
        <w:t xml:space="preserve">    إن معظم روادنا ونقادنا قد وقعوا في الموازنات بين التطور الأوروبي الحديث والتطور العربي، وانطلاقا من مقولة لا شك أنها صحيحة، ترى أن الرواية هي نتاج المجتمع الرأسمالي كما حدث بوضوح في أوروبا تصوّر أبناء طبقتنا البرجوازية أنّنا مادمنا نمتلك هذه الطبقة في المجتمع، فمن الطبيعي أن تنشأ لدينا رواية وتتطور، ورغم أن</w:t>
      </w:r>
      <w:r w:rsidR="001779D0">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 xml:space="preserve"> هذا الإطار النظ</w:t>
      </w:r>
      <w:r w:rsidR="001779D0">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ري صحيح فإنّ جزئية محدّدة قد غابت عن نقادنا، وهي أنّ تطوّرنا الحديث ليس رأسمالي بالضبط كما أنّ برجوازيتنا ليست برجوازية بالضبط، فالمعروف أنّ تطوّرنا الحديث قد تمّ منذ البداية تحت هيمنة المستعمر الغازي ممّا جعل التطور مفروضا من الخارج ممّا أعاق التطور الطبيعي الذي كنّا إليه.</w:t>
      </w:r>
    </w:p>
    <w:p w:rsidR="005A2C18" w:rsidRDefault="005A2C18" w:rsidP="005A2C18">
      <w:pPr>
        <w:bidi/>
        <w:spacing w:line="240" w:lineRule="auto"/>
        <w:jc w:val="both"/>
        <w:rPr>
          <w:rFonts w:ascii="Traditional Arabic" w:hAnsi="Traditional Arabic" w:cs="Traditional Arabic" w:hint="cs"/>
          <w:sz w:val="32"/>
          <w:szCs w:val="32"/>
          <w:rtl/>
          <w:lang w:bidi="ar-DZ"/>
        </w:rPr>
      </w:pPr>
      <w:r>
        <w:rPr>
          <w:rFonts w:ascii="Traditional Arabic" w:hAnsi="Traditional Arabic" w:cs="Traditional Arabic" w:hint="cs"/>
          <w:sz w:val="32"/>
          <w:szCs w:val="32"/>
          <w:rtl/>
          <w:lang w:bidi="ar-DZ"/>
        </w:rPr>
        <w:t xml:space="preserve">   يرى" السيد البحراوي" أنّه علينا ابتداءً أن نرفض الإدّعاء بإمكانية وجود شكل عربي أصيل ثابت يمكن أن يحيل إليه</w:t>
      </w:r>
      <w:r w:rsidR="00A955D1">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باعتباره إطارا مرجعيا للرواية العربية، إذ أنّ الرواية العربية الحديثة لا يمكن أن تكون قبل العصر الح</w:t>
      </w:r>
      <w:r w:rsidR="00A955D1">
        <w:rPr>
          <w:rFonts w:ascii="Traditional Arabic" w:hAnsi="Traditional Arabic" w:cs="Traditional Arabic" w:hint="cs"/>
          <w:sz w:val="32"/>
          <w:szCs w:val="32"/>
          <w:rtl/>
          <w:lang w:bidi="ar-DZ"/>
        </w:rPr>
        <w:t>د</w:t>
      </w:r>
      <w:r>
        <w:rPr>
          <w:rFonts w:ascii="Traditional Arabic" w:hAnsi="Traditional Arabic" w:cs="Traditional Arabic" w:hint="cs"/>
          <w:sz w:val="32"/>
          <w:szCs w:val="32"/>
          <w:rtl/>
          <w:lang w:bidi="ar-DZ"/>
        </w:rPr>
        <w:t>يث وفي الوقت نفسه لا يمكن التسليم بأنّها صورة من الرواية الغربية.</w:t>
      </w:r>
    </w:p>
    <w:p w:rsidR="005A2C18" w:rsidRPr="00B80DA6" w:rsidRDefault="00B40D81" w:rsidP="005A2C18">
      <w:pPr>
        <w:bidi/>
        <w:spacing w:line="240" w:lineRule="auto"/>
        <w:jc w:val="both"/>
        <w:rPr>
          <w:rFonts w:ascii="Traditional Arabic" w:hAnsi="Traditional Arabic" w:cs="Traditional Arabic"/>
          <w:sz w:val="32"/>
          <w:szCs w:val="32"/>
          <w:rtl/>
          <w:lang w:bidi="ar-DZ"/>
        </w:rPr>
      </w:pPr>
      <w:r w:rsidRPr="001779D0">
        <w:rPr>
          <w:rFonts w:ascii="Traditional Arabic" w:hAnsi="Traditional Arabic" w:cs="Traditional Arabic" w:hint="cs"/>
          <w:b/>
          <w:bCs/>
          <w:sz w:val="32"/>
          <w:szCs w:val="32"/>
          <w:rtl/>
          <w:lang w:bidi="ar-DZ"/>
        </w:rPr>
        <w:t>استنتاج</w:t>
      </w:r>
      <w:r>
        <w:rPr>
          <w:rFonts w:ascii="Traditional Arabic" w:hAnsi="Traditional Arabic" w:cs="Traditional Arabic" w:hint="cs"/>
          <w:sz w:val="32"/>
          <w:szCs w:val="32"/>
          <w:rtl/>
          <w:lang w:bidi="ar-DZ"/>
        </w:rPr>
        <w:t>: فالرواية العربية الحديثة قد تأثّرت في نشأتها بعوامل مركّبة ممّا أكسبها تلك الخصوصية التي تنوّعت بين التراث الرسمي والتراث الشعبي بكلّ أشكاله وبين أشكال الرواية الغربية المترجمة بالاضافة إلى الحراك الثقافي الذي شهده القرن 19م والذي شهد ميلاد الرواية.</w:t>
      </w:r>
    </w:p>
    <w:sectPr w:rsidR="005A2C18" w:rsidRPr="00B80DA6" w:rsidSect="001E77C9">
      <w:footerReference w:type="default" r:id="rId6"/>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71291" w:rsidRDefault="00171291" w:rsidP="001779D0">
      <w:pPr>
        <w:spacing w:after="0" w:line="240" w:lineRule="auto"/>
      </w:pPr>
      <w:r>
        <w:separator/>
      </w:r>
    </w:p>
  </w:endnote>
  <w:endnote w:type="continuationSeparator" w:id="0">
    <w:p w:rsidR="00171291" w:rsidRDefault="00171291" w:rsidP="001779D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40938"/>
      <w:docPartObj>
        <w:docPartGallery w:val="Page Numbers (Bottom of Page)"/>
        <w:docPartUnique/>
      </w:docPartObj>
    </w:sdtPr>
    <w:sdtContent>
      <w:p w:rsidR="001779D0" w:rsidRDefault="001779D0">
        <w:pPr>
          <w:pStyle w:val="Pieddepage"/>
          <w:jc w:val="center"/>
        </w:pPr>
        <w:fldSimple w:instr=" PAGE   \* MERGEFORMAT ">
          <w:r w:rsidR="00A955D1">
            <w:rPr>
              <w:noProof/>
            </w:rPr>
            <w:t>2</w:t>
          </w:r>
        </w:fldSimple>
      </w:p>
    </w:sdtContent>
  </w:sdt>
  <w:p w:rsidR="001779D0" w:rsidRDefault="001779D0">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71291" w:rsidRDefault="00171291" w:rsidP="001779D0">
      <w:pPr>
        <w:spacing w:after="0" w:line="240" w:lineRule="auto"/>
      </w:pPr>
      <w:r>
        <w:separator/>
      </w:r>
    </w:p>
  </w:footnote>
  <w:footnote w:type="continuationSeparator" w:id="0">
    <w:p w:rsidR="00171291" w:rsidRDefault="00171291" w:rsidP="001779D0">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footnotePr>
    <w:footnote w:id="-1"/>
    <w:footnote w:id="0"/>
  </w:footnotePr>
  <w:endnotePr>
    <w:endnote w:id="-1"/>
    <w:endnote w:id="0"/>
  </w:endnotePr>
  <w:compat/>
  <w:rsids>
    <w:rsidRoot w:val="00B80DA6"/>
    <w:rsid w:val="00171291"/>
    <w:rsid w:val="001779D0"/>
    <w:rsid w:val="001E77C9"/>
    <w:rsid w:val="002276C9"/>
    <w:rsid w:val="002503A0"/>
    <w:rsid w:val="00424A69"/>
    <w:rsid w:val="005A2C18"/>
    <w:rsid w:val="007B7FFE"/>
    <w:rsid w:val="00873DD7"/>
    <w:rsid w:val="00A955D1"/>
    <w:rsid w:val="00B40D81"/>
    <w:rsid w:val="00B80DA6"/>
    <w:rsid w:val="00BF579A"/>
    <w:rsid w:val="00C96CB8"/>
    <w:rsid w:val="00D42831"/>
    <w:rsid w:val="00F5541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579A"/>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1779D0"/>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1779D0"/>
  </w:style>
  <w:style w:type="paragraph" w:styleId="Pieddepage">
    <w:name w:val="footer"/>
    <w:basedOn w:val="Normal"/>
    <w:link w:val="PieddepageCar"/>
    <w:uiPriority w:val="99"/>
    <w:unhideWhenUsed/>
    <w:rsid w:val="001779D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779D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615</Words>
  <Characters>3384</Characters>
  <Application>Microsoft Office Word</Application>
  <DocSecurity>0</DocSecurity>
  <Lines>28</Lines>
  <Paragraphs>7</Paragraphs>
  <ScaleCrop>false</ScaleCrop>
  <HeadingPairs>
    <vt:vector size="2" baseType="variant">
      <vt:variant>
        <vt:lpstr>Titre</vt:lpstr>
      </vt:variant>
      <vt:variant>
        <vt:i4>1</vt:i4>
      </vt:variant>
    </vt:vector>
  </HeadingPairs>
  <TitlesOfParts>
    <vt:vector size="1" baseType="lpstr">
      <vt:lpstr/>
    </vt:vector>
  </TitlesOfParts>
  <Company>Education</Company>
  <LinksUpToDate>false</LinksUpToDate>
  <CharactersWithSpaces>3992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Eleve</dc:creator>
  <cp:lastModifiedBy>Eleve</cp:lastModifiedBy>
  <cp:revision>2</cp:revision>
  <dcterms:created xsi:type="dcterms:W3CDTF">2023-12-28T20:04:00Z</dcterms:created>
  <dcterms:modified xsi:type="dcterms:W3CDTF">2023-12-28T20:04:00Z</dcterms:modified>
</cp:coreProperties>
</file>